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B4" w:rsidRDefault="004916B4"/>
    <w:tbl>
      <w:tblPr>
        <w:tblStyle w:val="TableGrid"/>
        <w:tblW w:w="0" w:type="auto"/>
        <w:tblLook w:val="04A0" w:firstRow="1" w:lastRow="0" w:firstColumn="1" w:lastColumn="0" w:noHBand="0" w:noVBand="1"/>
      </w:tblPr>
      <w:tblGrid>
        <w:gridCol w:w="10456"/>
      </w:tblGrid>
      <w:tr w:rsidR="004916B4" w:rsidTr="004916B4">
        <w:tc>
          <w:tcPr>
            <w:tcW w:w="10456" w:type="dxa"/>
          </w:tcPr>
          <w:p w:rsidR="004916B4" w:rsidRDefault="004916B4"/>
          <w:p w:rsidR="004916B4" w:rsidRDefault="004916B4"/>
          <w:p w:rsidR="004916B4" w:rsidRDefault="004916B4" w:rsidP="004916B4">
            <w:pPr>
              <w:pStyle w:val="Title"/>
            </w:pPr>
            <w:r>
              <w:t>Writing Statistics (or really any) Internal Assessments</w:t>
            </w:r>
          </w:p>
          <w:p w:rsidR="004916B4" w:rsidRDefault="004916B4"/>
        </w:tc>
      </w:tr>
    </w:tbl>
    <w:p w:rsidR="007B4AB5" w:rsidRDefault="007B4AB5"/>
    <w:tbl>
      <w:tblPr>
        <w:tblStyle w:val="TableGrid"/>
        <w:tblW w:w="0" w:type="auto"/>
        <w:tblLook w:val="04A0" w:firstRow="1" w:lastRow="0" w:firstColumn="1" w:lastColumn="0" w:noHBand="0" w:noVBand="1"/>
      </w:tblPr>
      <w:tblGrid>
        <w:gridCol w:w="10456"/>
      </w:tblGrid>
      <w:tr w:rsidR="004916B4" w:rsidTr="004916B4">
        <w:tc>
          <w:tcPr>
            <w:tcW w:w="10456" w:type="dxa"/>
          </w:tcPr>
          <w:p w:rsidR="004916B4" w:rsidRDefault="004916B4"/>
          <w:p w:rsidR="004916B4" w:rsidRDefault="004916B4" w:rsidP="004916B4">
            <w:pPr>
              <w:rPr>
                <w:i/>
              </w:rPr>
            </w:pPr>
            <w:r>
              <w:rPr>
                <w:i/>
              </w:rPr>
              <w:t xml:space="preserve">A caveat – the standards will be changing in the next few years. However, how much will actually be changing?  The rumours are flying around – 4 to 5 standards with at least one external.  There will still be internal </w:t>
            </w:r>
            <w:proofErr w:type="gramStart"/>
            <w:r>
              <w:rPr>
                <w:i/>
              </w:rPr>
              <w:t>assessments which</w:t>
            </w:r>
            <w:proofErr w:type="gramEnd"/>
            <w:r>
              <w:rPr>
                <w:i/>
              </w:rPr>
              <w:t xml:space="preserve"> need writing. </w:t>
            </w:r>
          </w:p>
          <w:p w:rsidR="004916B4" w:rsidRDefault="004916B4"/>
          <w:p w:rsidR="004916B4" w:rsidRDefault="004916B4"/>
        </w:tc>
      </w:tr>
    </w:tbl>
    <w:p w:rsidR="004A21A5" w:rsidRDefault="004A21A5"/>
    <w:tbl>
      <w:tblPr>
        <w:tblStyle w:val="TableGrid"/>
        <w:tblW w:w="0" w:type="auto"/>
        <w:tblLook w:val="04A0" w:firstRow="1" w:lastRow="0" w:firstColumn="1" w:lastColumn="0" w:noHBand="0" w:noVBand="1"/>
      </w:tblPr>
      <w:tblGrid>
        <w:gridCol w:w="10456"/>
      </w:tblGrid>
      <w:tr w:rsidR="004A21A5" w:rsidTr="004A21A5">
        <w:tc>
          <w:tcPr>
            <w:tcW w:w="10456" w:type="dxa"/>
          </w:tcPr>
          <w:p w:rsidR="004A21A5" w:rsidRDefault="004A21A5"/>
          <w:p w:rsidR="00807560" w:rsidRDefault="00807560" w:rsidP="00807560">
            <w:pPr>
              <w:pStyle w:val="Title"/>
            </w:pPr>
            <w:r>
              <w:t>Why?</w:t>
            </w:r>
          </w:p>
          <w:p w:rsidR="00807560" w:rsidRDefault="00807560"/>
          <w:p w:rsidR="004A21A5" w:rsidRDefault="004A21A5" w:rsidP="00807560">
            <w:pPr>
              <w:pStyle w:val="ListParagraph"/>
              <w:numPr>
                <w:ilvl w:val="0"/>
                <w:numId w:val="1"/>
              </w:numPr>
            </w:pPr>
            <w:r>
              <w:t>Sheer and utter boredom – assessing the same contexts and data sets year after year is soul-</w:t>
            </w:r>
            <w:proofErr w:type="spellStart"/>
            <w:r>
              <w:t>destroyingly</w:t>
            </w:r>
            <w:proofErr w:type="spellEnd"/>
            <w:r>
              <w:t xml:space="preserve"> boring</w:t>
            </w:r>
          </w:p>
          <w:p w:rsidR="004A21A5" w:rsidRDefault="004A21A5"/>
          <w:p w:rsidR="004A21A5" w:rsidRDefault="004A21A5" w:rsidP="00807560">
            <w:pPr>
              <w:pStyle w:val="ListParagraph"/>
              <w:numPr>
                <w:ilvl w:val="0"/>
                <w:numId w:val="1"/>
              </w:numPr>
            </w:pPr>
            <w:r>
              <w:t xml:space="preserve">Writing Internal assessments is a valuable tool to add to your repertoire of teaching skills, and </w:t>
            </w:r>
            <w:proofErr w:type="spellStart"/>
            <w:r>
              <w:t>lets</w:t>
            </w:r>
            <w:proofErr w:type="spellEnd"/>
            <w:r>
              <w:t xml:space="preserve"> face it, makes you so much more employable </w:t>
            </w:r>
          </w:p>
          <w:p w:rsidR="00807560" w:rsidRDefault="00807560"/>
          <w:p w:rsidR="00807560" w:rsidRDefault="00807560" w:rsidP="00807560">
            <w:pPr>
              <w:pStyle w:val="ListParagraph"/>
              <w:numPr>
                <w:ilvl w:val="0"/>
                <w:numId w:val="1"/>
              </w:numPr>
            </w:pPr>
            <w:r>
              <w:t>Hones and develops your content knowledge of the standards more than any other professional development on offer</w:t>
            </w:r>
          </w:p>
          <w:p w:rsidR="00807560" w:rsidRDefault="00807560"/>
          <w:p w:rsidR="00807560" w:rsidRDefault="00807560" w:rsidP="00807560">
            <w:pPr>
              <w:pStyle w:val="ListParagraph"/>
              <w:numPr>
                <w:ilvl w:val="0"/>
                <w:numId w:val="1"/>
              </w:numPr>
            </w:pPr>
            <w:r>
              <w:t>Allows you to write and develop relevant and useful resources for teaching – you do not have to find resources in the black hole that is the internet</w:t>
            </w:r>
          </w:p>
          <w:p w:rsidR="00807560" w:rsidRDefault="00807560"/>
          <w:p w:rsidR="00807560" w:rsidRDefault="00807560" w:rsidP="00807560">
            <w:pPr>
              <w:pStyle w:val="ListParagraph"/>
              <w:numPr>
                <w:ilvl w:val="0"/>
                <w:numId w:val="1"/>
              </w:numPr>
            </w:pPr>
            <w:r>
              <w:t xml:space="preserve">Firmly embeds you in the ‘mind of the student’ – you will have to consider student engagement, content knowledge and the different levels needing to be demonstrated.  </w:t>
            </w:r>
          </w:p>
          <w:p w:rsidR="00807560" w:rsidRDefault="00807560"/>
          <w:p w:rsidR="00807560" w:rsidRDefault="00807560" w:rsidP="00807560">
            <w:pPr>
              <w:pStyle w:val="ListParagraph"/>
              <w:numPr>
                <w:ilvl w:val="0"/>
                <w:numId w:val="1"/>
              </w:numPr>
            </w:pPr>
            <w:r>
              <w:t xml:space="preserve">You will become an expert in the standard – </w:t>
            </w:r>
            <w:proofErr w:type="gramStart"/>
            <w:r>
              <w:t>it’s</w:t>
            </w:r>
            <w:proofErr w:type="gramEnd"/>
            <w:r>
              <w:t xml:space="preserve"> actually pretty cool. </w:t>
            </w:r>
          </w:p>
          <w:p w:rsidR="004A21A5" w:rsidRDefault="004A21A5"/>
          <w:p w:rsidR="004A21A5" w:rsidRDefault="004A21A5"/>
        </w:tc>
      </w:tr>
    </w:tbl>
    <w:p w:rsidR="004A21A5" w:rsidRDefault="004A21A5"/>
    <w:tbl>
      <w:tblPr>
        <w:tblStyle w:val="TableGrid"/>
        <w:tblW w:w="0" w:type="auto"/>
        <w:tblLook w:val="04A0" w:firstRow="1" w:lastRow="0" w:firstColumn="1" w:lastColumn="0" w:noHBand="0" w:noVBand="1"/>
      </w:tblPr>
      <w:tblGrid>
        <w:gridCol w:w="10456"/>
      </w:tblGrid>
      <w:tr w:rsidR="00807560" w:rsidTr="00807560">
        <w:tc>
          <w:tcPr>
            <w:tcW w:w="10456" w:type="dxa"/>
          </w:tcPr>
          <w:p w:rsidR="00807560" w:rsidRDefault="00807560"/>
          <w:p w:rsidR="00807560" w:rsidRDefault="00807560" w:rsidP="00807560">
            <w:pPr>
              <w:pStyle w:val="Title"/>
            </w:pPr>
            <w:r>
              <w:t xml:space="preserve">WHEN? </w:t>
            </w:r>
          </w:p>
          <w:p w:rsidR="00807560" w:rsidRDefault="00807560">
            <w:r>
              <w:t>Presumably pretty soon</w:t>
            </w:r>
            <w:proofErr w:type="gramStart"/>
            <w:r>
              <w:t>…..</w:t>
            </w:r>
            <w:proofErr w:type="gramEnd"/>
            <w:r>
              <w:t xml:space="preserve"> but that’s another story</w:t>
            </w:r>
          </w:p>
          <w:p w:rsidR="00807560" w:rsidRDefault="00807560"/>
          <w:p w:rsidR="00807560" w:rsidRDefault="00807560" w:rsidP="00807560">
            <w:r>
              <w:t>The NZAMT writing camp is the best professional development you can ever get. </w:t>
            </w:r>
          </w:p>
          <w:p w:rsidR="00807560" w:rsidRDefault="00807560" w:rsidP="00807560">
            <w:r>
              <w:t>The year before, seriously the year before. Having an assessment ready the year before enables lesson planning, development of resources and peace of mind. </w:t>
            </w:r>
          </w:p>
          <w:p w:rsidR="00807560" w:rsidRDefault="00807560" w:rsidP="00807560"/>
          <w:p w:rsidR="00807560" w:rsidRDefault="00807560" w:rsidP="00807560">
            <w:r>
              <w:t>Or, at least the term before so teachers are aware of the context, content and for moderation purposes</w:t>
            </w:r>
          </w:p>
          <w:p w:rsidR="00807560" w:rsidRDefault="00807560"/>
          <w:p w:rsidR="00807560" w:rsidRDefault="00807560"/>
        </w:tc>
      </w:tr>
      <w:tr w:rsidR="004916B4" w:rsidTr="004916B4">
        <w:tc>
          <w:tcPr>
            <w:tcW w:w="10456" w:type="dxa"/>
          </w:tcPr>
          <w:p w:rsidR="00807560" w:rsidRDefault="00807560" w:rsidP="00807560">
            <w:pPr>
              <w:pStyle w:val="Title"/>
            </w:pPr>
            <w:r>
              <w:lastRenderedPageBreak/>
              <w:t>HOW</w:t>
            </w:r>
            <w:r w:rsidR="001A08DA">
              <w:t xml:space="preserve"> – PART 1 – The Standard</w:t>
            </w:r>
          </w:p>
          <w:p w:rsidR="001A08DA" w:rsidRDefault="001A08DA" w:rsidP="001A08DA"/>
          <w:p w:rsidR="001A08DA" w:rsidRPr="001A08DA" w:rsidRDefault="001A08DA" w:rsidP="001A08DA">
            <w:pPr>
              <w:rPr>
                <w:rFonts w:ascii="Times New Roman" w:hAnsi="Times New Roman" w:cs="Times New Roman"/>
                <w:sz w:val="24"/>
                <w:szCs w:val="24"/>
                <w:lang w:eastAsia="en-NZ"/>
              </w:rPr>
            </w:pPr>
            <w:r w:rsidRPr="001A08DA">
              <w:rPr>
                <w:lang w:eastAsia="en-NZ"/>
              </w:rPr>
              <w:t>Stage one of gathering all your information: </w:t>
            </w:r>
          </w:p>
          <w:p w:rsidR="001A08DA" w:rsidRPr="001A08DA" w:rsidRDefault="001A08DA" w:rsidP="001A08DA">
            <w:pPr>
              <w:rPr>
                <w:rFonts w:ascii="Times New Roman" w:hAnsi="Times New Roman" w:cs="Times New Roman"/>
                <w:sz w:val="24"/>
                <w:szCs w:val="24"/>
                <w:lang w:eastAsia="en-NZ"/>
              </w:rPr>
            </w:pPr>
            <w:r w:rsidRPr="001A08DA">
              <w:rPr>
                <w:b/>
                <w:bCs/>
                <w:sz w:val="28"/>
                <w:szCs w:val="28"/>
                <w:lang w:eastAsia="en-NZ"/>
              </w:rPr>
              <w:t xml:space="preserve">www.nzqa.govt.nz </w:t>
            </w:r>
            <w:r w:rsidRPr="001A08DA">
              <w:rPr>
                <w:sz w:val="28"/>
                <w:szCs w:val="28"/>
                <w:lang w:eastAsia="en-NZ"/>
              </w:rPr>
              <w:t xml:space="preserve">- </w:t>
            </w:r>
            <w:r w:rsidRPr="001A08DA">
              <w:rPr>
                <w:i/>
                <w:iCs/>
                <w:sz w:val="28"/>
                <w:szCs w:val="28"/>
                <w:lang w:eastAsia="en-NZ"/>
              </w:rPr>
              <w:t>this will form the basis of the schedule</w:t>
            </w:r>
          </w:p>
          <w:p w:rsidR="001A08DA" w:rsidRPr="001A08DA" w:rsidRDefault="001A08DA" w:rsidP="001A08DA">
            <w:pPr>
              <w:rPr>
                <w:rFonts w:ascii="Times New Roman" w:hAnsi="Times New Roman" w:cs="Times New Roman"/>
                <w:sz w:val="24"/>
                <w:szCs w:val="24"/>
                <w:lang w:eastAsia="en-NZ"/>
              </w:rPr>
            </w:pPr>
            <w:proofErr w:type="gramStart"/>
            <w:r w:rsidRPr="001A08DA">
              <w:rPr>
                <w:b/>
                <w:bCs/>
                <w:sz w:val="28"/>
                <w:szCs w:val="28"/>
                <w:lang w:eastAsia="en-NZ"/>
              </w:rPr>
              <w:t>www</w:t>
            </w:r>
            <w:proofErr w:type="gramEnd"/>
            <w:r w:rsidRPr="001A08DA">
              <w:rPr>
                <w:b/>
                <w:bCs/>
                <w:sz w:val="28"/>
                <w:szCs w:val="28"/>
                <w:lang w:eastAsia="en-NZ"/>
              </w:rPr>
              <w:t>. ncea.tki.org.nz/Resources-for-Internally-Assessed-Achievement-Standards</w:t>
            </w:r>
            <w:r w:rsidRPr="001A08DA">
              <w:rPr>
                <w:sz w:val="28"/>
                <w:szCs w:val="28"/>
                <w:lang w:eastAsia="en-NZ"/>
              </w:rPr>
              <w:t xml:space="preserve"> - </w:t>
            </w:r>
            <w:r w:rsidRPr="001A08DA">
              <w:rPr>
                <w:i/>
                <w:iCs/>
                <w:sz w:val="28"/>
                <w:szCs w:val="28"/>
                <w:lang w:eastAsia="en-NZ"/>
              </w:rPr>
              <w:t>this will give a framework for the assessment </w:t>
            </w:r>
          </w:p>
          <w:p w:rsidR="001A08DA" w:rsidRPr="001A08DA" w:rsidRDefault="001A08DA" w:rsidP="001A08DA">
            <w:r w:rsidRPr="001A08DA">
              <w:rPr>
                <w:b/>
                <w:bCs/>
                <w:sz w:val="28"/>
                <w:szCs w:val="28"/>
                <w:lang w:eastAsia="en-NZ"/>
              </w:rPr>
              <w:t>www.nzqa.govt.nz/ncea/subjects/mathematics/clarifications/</w:t>
            </w:r>
            <w:r w:rsidRPr="001A08DA">
              <w:rPr>
                <w:i/>
                <w:iCs/>
                <w:sz w:val="28"/>
                <w:szCs w:val="28"/>
                <w:lang w:eastAsia="en-NZ"/>
              </w:rPr>
              <w:t>- this will aid in the schedule development and teacher judgement</w:t>
            </w:r>
          </w:p>
          <w:p w:rsidR="00382851" w:rsidRDefault="00382851"/>
          <w:p w:rsidR="00382851" w:rsidRDefault="00382851">
            <w:r>
              <w:t xml:space="preserve">The standard will form the basis of the schedule – it is what the student </w:t>
            </w:r>
            <w:proofErr w:type="gramStart"/>
            <w:r>
              <w:t>is assessed</w:t>
            </w:r>
            <w:proofErr w:type="gramEnd"/>
            <w:r>
              <w:t xml:space="preserve"> against.  More on standard clarifications later on. </w:t>
            </w:r>
          </w:p>
          <w:p w:rsidR="00382851" w:rsidRDefault="00382851"/>
          <w:p w:rsidR="00382851" w:rsidRDefault="00382851">
            <w:r>
              <w:t xml:space="preserve">Parts of the standard.  We chose 1.10 as an example but this applies to all the current standards. </w:t>
            </w:r>
          </w:p>
          <w:p w:rsidR="00382851" w:rsidRDefault="00382851"/>
          <w:p w:rsidR="00382851" w:rsidRDefault="00382851">
            <w:r w:rsidRPr="00382851">
              <w:rPr>
                <w:rStyle w:val="Heading1Char"/>
              </w:rPr>
              <w:t>The Explanatory Notes</w:t>
            </w:r>
            <w:r>
              <w:t xml:space="preserve"> </w:t>
            </w:r>
            <w:r w:rsidRPr="001B2BA3">
              <w:rPr>
                <w:rStyle w:val="Heading1Char"/>
              </w:rPr>
              <w:t xml:space="preserve">– This could form the </w:t>
            </w:r>
            <w:proofErr w:type="gramStart"/>
            <w:r w:rsidRPr="001B2BA3">
              <w:rPr>
                <w:rStyle w:val="Heading1Char"/>
              </w:rPr>
              <w:t>main focus</w:t>
            </w:r>
            <w:proofErr w:type="gramEnd"/>
            <w:r w:rsidRPr="001B2BA3">
              <w:rPr>
                <w:rStyle w:val="Heading1Char"/>
              </w:rPr>
              <w:t xml:space="preserve"> of your teaching planning. This shows where the standard </w:t>
            </w:r>
            <w:proofErr w:type="gramStart"/>
            <w:r w:rsidRPr="001B2BA3">
              <w:rPr>
                <w:rStyle w:val="Heading1Char"/>
              </w:rPr>
              <w:t>has been derived</w:t>
            </w:r>
            <w:proofErr w:type="gramEnd"/>
            <w:r w:rsidRPr="001B2BA3">
              <w:rPr>
                <w:rStyle w:val="Heading1Char"/>
              </w:rPr>
              <w:t xml:space="preserve"> from the New Zealand Curriculum.</w:t>
            </w:r>
            <w:r>
              <w:t xml:space="preserve"> </w:t>
            </w:r>
          </w:p>
          <w:p w:rsidR="00382851" w:rsidRDefault="00382851"/>
          <w:p w:rsidR="00382851" w:rsidRDefault="00382851" w:rsidP="001B2BA3">
            <w:pPr>
              <w:pStyle w:val="Heading1"/>
              <w:outlineLvl w:val="0"/>
            </w:pPr>
            <w:r>
              <w:rPr>
                <w:noProof/>
                <w:lang w:eastAsia="en-NZ"/>
              </w:rPr>
              <w:drawing>
                <wp:inline distT="0" distB="0" distL="0" distR="0">
                  <wp:extent cx="4429125" cy="2518415"/>
                  <wp:effectExtent l="0" t="0" r="0" b="0"/>
                  <wp:docPr id="2" name="Picture 2" descr="https://lh6.googleusercontent.com/H1LigcxfyGzSZlJnmNg09yDLPbTPYX6duizKhaqj_uRfYCflBBB7XPDxVVTcHovQwFFy5e-4W0z9Yu2vFDDE_WtjqG8c64bYWrCzEOV-uqFNHYJI-SY3MyavX9vMalUMpElFaAmHa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1LigcxfyGzSZlJnmNg09yDLPbTPYX6duizKhaqj_uRfYCflBBB7XPDxVVTcHovQwFFy5e-4W0z9Yu2vFDDE_WtjqG8c64bYWrCzEOV-uqFNHYJI-SY3MyavX9vMalUMpElFaAmHa3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296" cy="2520218"/>
                          </a:xfrm>
                          <a:prstGeom prst="rect">
                            <a:avLst/>
                          </a:prstGeom>
                          <a:noFill/>
                          <a:ln>
                            <a:noFill/>
                          </a:ln>
                        </pic:spPr>
                      </pic:pic>
                    </a:graphicData>
                  </a:graphic>
                </wp:inline>
              </w:drawing>
            </w:r>
            <w:r>
              <w:t xml:space="preserve"> </w:t>
            </w:r>
          </w:p>
          <w:p w:rsidR="00382851" w:rsidRDefault="00382851"/>
          <w:p w:rsidR="00382851" w:rsidRDefault="00382851"/>
          <w:p w:rsidR="00382851" w:rsidRDefault="00382851"/>
          <w:p w:rsidR="00382851" w:rsidRDefault="00382851">
            <w:r w:rsidRPr="00382851">
              <w:rPr>
                <w:rStyle w:val="Heading1Char"/>
              </w:rPr>
              <w:t>Bullet Point Two</w:t>
            </w:r>
            <w:r>
              <w:t xml:space="preserve"> </w:t>
            </w:r>
            <w:r w:rsidRPr="001B2BA3">
              <w:rPr>
                <w:rStyle w:val="Heading1Char"/>
              </w:rPr>
              <w:t>– This is the definition of the levels between Achieved, Merit and Excellence grades.</w:t>
            </w:r>
            <w:r>
              <w:t xml:space="preserve"> </w:t>
            </w:r>
          </w:p>
          <w:p w:rsidR="00382851" w:rsidRDefault="00382851"/>
          <w:p w:rsidR="00382851" w:rsidRDefault="00382851">
            <w:r>
              <w:rPr>
                <w:noProof/>
                <w:lang w:eastAsia="en-NZ"/>
              </w:rPr>
              <w:drawing>
                <wp:inline distT="0" distB="0" distL="0" distR="0">
                  <wp:extent cx="5184746" cy="1978116"/>
                  <wp:effectExtent l="0" t="0" r="0" b="3175"/>
                  <wp:docPr id="3" name="Picture 3" descr="https://lh6.googleusercontent.com/KpObGjdlGz3YGKke0m0BogBYFTtRX9J15rYfY16XaqT-FlcUfbVhu6DYNq6wSnniKQtwsI_eX_bL0dD8LHUiN-FHYzDWe13sk7DDzUPMXNo-65hGsta64IHFgi--0nwr9A10jw9Ke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pObGjdlGz3YGKke0m0BogBYFTtRX9J15rYfY16XaqT-FlcUfbVhu6DYNq6wSnniKQtwsI_eX_bL0dD8LHUiN-FHYzDWe13sk7DDzUPMXNo-65hGsta64IHFgi--0nwr9A10jw9Ke_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645" cy="1984563"/>
                          </a:xfrm>
                          <a:prstGeom prst="rect">
                            <a:avLst/>
                          </a:prstGeom>
                          <a:noFill/>
                          <a:ln>
                            <a:noFill/>
                          </a:ln>
                        </pic:spPr>
                      </pic:pic>
                    </a:graphicData>
                  </a:graphic>
                </wp:inline>
              </w:drawing>
            </w:r>
          </w:p>
          <w:p w:rsidR="00382851" w:rsidRDefault="00382851"/>
          <w:p w:rsidR="00382851" w:rsidRDefault="00382851"/>
          <w:p w:rsidR="00382851" w:rsidRDefault="00382851" w:rsidP="001B2BA3">
            <w:pPr>
              <w:pStyle w:val="Heading1"/>
              <w:outlineLvl w:val="0"/>
            </w:pPr>
            <w:r>
              <w:t xml:space="preserve">Bullet Point Three – </w:t>
            </w:r>
            <w:proofErr w:type="gramStart"/>
            <w:r>
              <w:t>This is the description of using the statistical enquiry cycle content the students need to be familiar with</w:t>
            </w:r>
            <w:proofErr w:type="gramEnd"/>
            <w:r>
              <w:t xml:space="preserve">. </w:t>
            </w:r>
          </w:p>
          <w:p w:rsidR="003B1BDF" w:rsidRDefault="003B1BDF"/>
          <w:p w:rsidR="003B1BDF" w:rsidRDefault="003B1BDF"/>
          <w:p w:rsidR="003B1BDF" w:rsidRDefault="003B1BDF">
            <w:r>
              <w:rPr>
                <w:noProof/>
                <w:lang w:eastAsia="en-NZ"/>
              </w:rPr>
              <w:drawing>
                <wp:inline distT="0" distB="0" distL="0" distR="0" wp14:anchorId="35AA3F99" wp14:editId="2562D419">
                  <wp:extent cx="6257925" cy="230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7925" cy="2308225"/>
                          </a:xfrm>
                          <a:prstGeom prst="rect">
                            <a:avLst/>
                          </a:prstGeom>
                        </pic:spPr>
                      </pic:pic>
                    </a:graphicData>
                  </a:graphic>
                </wp:inline>
              </w:drawing>
            </w:r>
          </w:p>
          <w:p w:rsidR="00382851" w:rsidRDefault="00382851"/>
          <w:p w:rsidR="00382851" w:rsidRDefault="00382851">
            <w:r>
              <w:t xml:space="preserve">Note: For non-statistical standards, the standard indicates students need to be familiar with ‘methods related to’ and there are additional bullet points indicating the number of methods required and context requirements. </w:t>
            </w:r>
          </w:p>
          <w:p w:rsidR="001B2BA3" w:rsidRDefault="001B2BA3"/>
          <w:p w:rsidR="001B2BA3" w:rsidRDefault="001B2BA3">
            <w:r>
              <w:t>Distilling the level step up</w:t>
            </w:r>
            <w:r w:rsidR="00F23757">
              <w:t>s</w:t>
            </w:r>
            <w:r>
              <w:t xml:space="preserve">: </w:t>
            </w:r>
          </w:p>
          <w:p w:rsidR="001B2BA3" w:rsidRDefault="001B2BA3"/>
          <w:p w:rsidR="001B2BA3" w:rsidRDefault="001B2BA3" w:rsidP="001B2BA3">
            <w:pPr>
              <w:rPr>
                <w:lang w:eastAsia="en-NZ"/>
              </w:rPr>
            </w:pPr>
            <w:r w:rsidRPr="001B2BA3">
              <w:rPr>
                <w:b/>
                <w:lang w:eastAsia="en-NZ"/>
              </w:rPr>
              <w:t xml:space="preserve">Achieved </w:t>
            </w:r>
            <w:r w:rsidRPr="001B2BA3">
              <w:rPr>
                <w:lang w:eastAsia="en-NZ"/>
              </w:rPr>
              <w:t xml:space="preserve">- </w:t>
            </w:r>
            <w:r>
              <w:rPr>
                <w:lang w:eastAsia="en-NZ"/>
              </w:rPr>
              <w:t>Using</w:t>
            </w:r>
            <w:r w:rsidRPr="00F23757">
              <w:rPr>
                <w:b/>
                <w:lang w:eastAsia="en-NZ"/>
              </w:rPr>
              <w:t xml:space="preserve"> </w:t>
            </w:r>
            <w:r w:rsidRPr="00F23757">
              <w:rPr>
                <w:b/>
                <w:bCs/>
                <w:lang w:eastAsia="en-NZ"/>
              </w:rPr>
              <w:t>each</w:t>
            </w:r>
            <w:r w:rsidRPr="001B2BA3">
              <w:rPr>
                <w:lang w:eastAsia="en-NZ"/>
              </w:rPr>
              <w:t xml:space="preserve"> component of the statistical enquiry cycle to make comparisons.</w:t>
            </w:r>
          </w:p>
          <w:p w:rsidR="001B2BA3" w:rsidRPr="001B2BA3" w:rsidRDefault="001B2BA3" w:rsidP="001B2BA3">
            <w:pPr>
              <w:rPr>
                <w:rFonts w:ascii="Times New Roman" w:hAnsi="Times New Roman" w:cs="Times New Roman"/>
                <w:sz w:val="24"/>
                <w:szCs w:val="24"/>
                <w:lang w:eastAsia="en-NZ"/>
              </w:rPr>
            </w:pPr>
          </w:p>
          <w:p w:rsidR="001B2BA3" w:rsidRDefault="001B2BA3" w:rsidP="001B2BA3">
            <w:pPr>
              <w:rPr>
                <w:lang w:eastAsia="en-NZ"/>
              </w:rPr>
            </w:pPr>
            <w:r w:rsidRPr="00970ED2">
              <w:rPr>
                <w:b/>
                <w:lang w:eastAsia="en-NZ"/>
              </w:rPr>
              <w:t xml:space="preserve">Merit </w:t>
            </w:r>
            <w:r w:rsidRPr="001B2BA3">
              <w:rPr>
                <w:lang w:eastAsia="en-NZ"/>
              </w:rPr>
              <w:t xml:space="preserve">- Linking </w:t>
            </w:r>
            <w:r>
              <w:rPr>
                <w:lang w:eastAsia="en-NZ"/>
              </w:rPr>
              <w:t xml:space="preserve">to the </w:t>
            </w:r>
            <w:r w:rsidRPr="001B2BA3">
              <w:rPr>
                <w:b/>
                <w:bCs/>
                <w:lang w:eastAsia="en-NZ"/>
              </w:rPr>
              <w:t>context and the population</w:t>
            </w:r>
            <w:r w:rsidRPr="001B2BA3">
              <w:rPr>
                <w:lang w:eastAsia="en-NZ"/>
              </w:rPr>
              <w:t xml:space="preserve"> and</w:t>
            </w:r>
            <w:r>
              <w:rPr>
                <w:lang w:eastAsia="en-NZ"/>
              </w:rPr>
              <w:t xml:space="preserve"> </w:t>
            </w:r>
            <w:r w:rsidRPr="001B2BA3">
              <w:rPr>
                <w:b/>
                <w:bCs/>
                <w:lang w:eastAsia="en-NZ"/>
              </w:rPr>
              <w:t>making supporting statements</w:t>
            </w:r>
            <w:r w:rsidRPr="001B2BA3">
              <w:rPr>
                <w:lang w:eastAsia="en-NZ"/>
              </w:rPr>
              <w:t xml:space="preserve"> </w:t>
            </w:r>
          </w:p>
          <w:p w:rsidR="001B2BA3" w:rsidRDefault="001B2BA3" w:rsidP="001B2BA3">
            <w:pPr>
              <w:rPr>
                <w:lang w:eastAsia="en-NZ"/>
              </w:rPr>
            </w:pPr>
          </w:p>
          <w:p w:rsidR="001B2BA3" w:rsidRDefault="001B2BA3" w:rsidP="001B2BA3">
            <w:r w:rsidRPr="00970ED2">
              <w:rPr>
                <w:b/>
                <w:lang w:eastAsia="en-NZ"/>
              </w:rPr>
              <w:t xml:space="preserve">Excellence </w:t>
            </w:r>
            <w:r w:rsidRPr="001B2BA3">
              <w:rPr>
                <w:lang w:eastAsia="en-NZ"/>
              </w:rPr>
              <w:t xml:space="preserve">- </w:t>
            </w:r>
            <w:r w:rsidRPr="001B2BA3">
              <w:rPr>
                <w:b/>
                <w:bCs/>
                <w:lang w:eastAsia="en-NZ"/>
              </w:rPr>
              <w:t>Integrating statistical and contextual knowledge</w:t>
            </w:r>
            <w:r w:rsidRPr="001B2BA3">
              <w:rPr>
                <w:lang w:eastAsia="en-NZ"/>
              </w:rPr>
              <w:t xml:space="preserve"> throughout the statistical enquiry cycle, and may involve </w:t>
            </w:r>
            <w:r w:rsidRPr="001B2BA3">
              <w:rPr>
                <w:b/>
                <w:bCs/>
                <w:lang w:eastAsia="en-NZ"/>
              </w:rPr>
              <w:t>reflecting on the process</w:t>
            </w:r>
            <w:r w:rsidRPr="001B2BA3">
              <w:rPr>
                <w:lang w:eastAsia="en-NZ"/>
              </w:rPr>
              <w:t xml:space="preserve"> or </w:t>
            </w:r>
            <w:r w:rsidRPr="001B2BA3">
              <w:rPr>
                <w:b/>
                <w:bCs/>
                <w:lang w:eastAsia="en-NZ"/>
              </w:rPr>
              <w:t>considering other explanations</w:t>
            </w:r>
            <w:r w:rsidRPr="001B2BA3">
              <w:rPr>
                <w:lang w:eastAsia="en-NZ"/>
              </w:rPr>
              <w:t xml:space="preserve"> for the findings.</w:t>
            </w:r>
          </w:p>
          <w:p w:rsidR="001B2BA3" w:rsidRDefault="001B2BA3"/>
          <w:p w:rsidR="004916B4" w:rsidRDefault="004916B4"/>
        </w:tc>
      </w:tr>
    </w:tbl>
    <w:p w:rsidR="004916B4" w:rsidRDefault="004916B4"/>
    <w:p w:rsidR="001B2BA3" w:rsidRDefault="001B2BA3"/>
    <w:tbl>
      <w:tblPr>
        <w:tblStyle w:val="TableGrid"/>
        <w:tblW w:w="0" w:type="auto"/>
        <w:tblLook w:val="04A0" w:firstRow="1" w:lastRow="0" w:firstColumn="1" w:lastColumn="0" w:noHBand="0" w:noVBand="1"/>
      </w:tblPr>
      <w:tblGrid>
        <w:gridCol w:w="10456"/>
      </w:tblGrid>
      <w:tr w:rsidR="001B2BA3" w:rsidTr="001B2BA3">
        <w:tc>
          <w:tcPr>
            <w:tcW w:w="10456" w:type="dxa"/>
          </w:tcPr>
          <w:p w:rsidR="001A08DA" w:rsidRDefault="001A08DA" w:rsidP="001A08DA">
            <w:pPr>
              <w:pStyle w:val="Title"/>
            </w:pPr>
            <w:r>
              <w:t xml:space="preserve">HOW – PART 2 – The </w:t>
            </w:r>
            <w:proofErr w:type="spellStart"/>
            <w:r>
              <w:t>tki</w:t>
            </w:r>
            <w:proofErr w:type="spellEnd"/>
            <w:r>
              <w:t xml:space="preserve"> Website</w:t>
            </w:r>
          </w:p>
          <w:p w:rsidR="003C64E5" w:rsidRDefault="003C64E5" w:rsidP="003C64E5"/>
          <w:p w:rsidR="003C64E5" w:rsidRDefault="003C64E5" w:rsidP="003C64E5">
            <w:r>
              <w:t xml:space="preserve">Take note!  You must modify the </w:t>
            </w:r>
            <w:proofErr w:type="spellStart"/>
            <w:r>
              <w:t>tki</w:t>
            </w:r>
            <w:proofErr w:type="spellEnd"/>
            <w:r>
              <w:t xml:space="preserve"> assessments!</w:t>
            </w:r>
          </w:p>
          <w:p w:rsidR="003C64E5" w:rsidRDefault="003C64E5" w:rsidP="003C64E5">
            <w:r>
              <w:rPr>
                <w:noProof/>
                <w:lang w:eastAsia="en-NZ"/>
              </w:rPr>
              <w:lastRenderedPageBreak/>
              <w:drawing>
                <wp:inline distT="0" distB="0" distL="0" distR="0" wp14:anchorId="061913A2" wp14:editId="2E260657">
                  <wp:extent cx="6429375" cy="2371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9375" cy="2371725"/>
                          </a:xfrm>
                          <a:prstGeom prst="rect">
                            <a:avLst/>
                          </a:prstGeom>
                        </pic:spPr>
                      </pic:pic>
                    </a:graphicData>
                  </a:graphic>
                </wp:inline>
              </w:drawing>
            </w:r>
          </w:p>
          <w:p w:rsidR="003C64E5" w:rsidRDefault="003C64E5" w:rsidP="003C64E5"/>
          <w:p w:rsidR="003C64E5" w:rsidRDefault="003C64E5" w:rsidP="003C64E5"/>
          <w:p w:rsidR="003C64E5" w:rsidRPr="003C64E5" w:rsidRDefault="003C64E5" w:rsidP="003C64E5">
            <w:r w:rsidRPr="00CD0F0D">
              <w:rPr>
                <w:b/>
              </w:rPr>
              <w:t>Read the Teacher guidelines:</w:t>
            </w:r>
            <w:r>
              <w:t xml:space="preserve">  They contain valuable information on how to carry out a consistent and valid assessment. </w:t>
            </w:r>
          </w:p>
          <w:p w:rsidR="001B2BA3" w:rsidRDefault="003C64E5">
            <w:r w:rsidRPr="00CD0F0D">
              <w:rPr>
                <w:b/>
              </w:rPr>
              <w:t>Context/setting</w:t>
            </w:r>
            <w:r>
              <w:t xml:space="preserve"> –</w:t>
            </w:r>
            <w:r w:rsidR="00CD0F0D">
              <w:t xml:space="preserve"> This explains the data set and the contextual settings – these can be adjusted by the teacher</w:t>
            </w:r>
          </w:p>
          <w:p w:rsidR="00CD0F0D" w:rsidRDefault="00CD0F0D">
            <w:r w:rsidRPr="00CD0F0D">
              <w:rPr>
                <w:b/>
              </w:rPr>
              <w:t>Conditions</w:t>
            </w:r>
            <w:r>
              <w:t xml:space="preserve"> – This explains how the assessment could be administered with respect to assessment timings, writing questions and readiness for the standard</w:t>
            </w:r>
          </w:p>
          <w:p w:rsidR="00CD0F0D" w:rsidRDefault="00CD0F0D">
            <w:r w:rsidRPr="00CD0F0D">
              <w:rPr>
                <w:b/>
              </w:rPr>
              <w:t>Resource requirements</w:t>
            </w:r>
            <w:r>
              <w:t xml:space="preserve"> – This explains the information required by the students to complete the assessment and possible indications for starting student on the assessment </w:t>
            </w:r>
          </w:p>
          <w:p w:rsidR="00CD0F0D" w:rsidRDefault="00CD0F0D"/>
          <w:p w:rsidR="00CD0F0D" w:rsidRDefault="00CD0F0D"/>
          <w:p w:rsidR="00CD0F0D" w:rsidRDefault="00CD0F0D">
            <w:r>
              <w:t xml:space="preserve">The Student Instructions – This will always follow the Statistical Enquiry Cycle: </w:t>
            </w:r>
          </w:p>
          <w:p w:rsidR="00CD0F0D" w:rsidRDefault="00CD0F0D"/>
          <w:p w:rsidR="00CD0F0D" w:rsidRDefault="00CD0F0D">
            <w:r w:rsidRPr="00CD0F0D">
              <w:rPr>
                <w:b/>
              </w:rPr>
              <w:t>Introduction:</w:t>
            </w:r>
            <w:r>
              <w:t xml:space="preserve"> Describes the context and conditions to the students</w:t>
            </w:r>
          </w:p>
          <w:p w:rsidR="00CD0F0D" w:rsidRDefault="00CD0F0D">
            <w:r w:rsidRPr="00CD0F0D">
              <w:rPr>
                <w:b/>
              </w:rPr>
              <w:t>Task:</w:t>
            </w:r>
            <w:r>
              <w:t xml:space="preserve"> Problem, Plan and Data, Analysis and Conclusion</w:t>
            </w:r>
          </w:p>
          <w:p w:rsidR="00CD0F0D" w:rsidRDefault="00CD0F0D">
            <w:r w:rsidRPr="00CD0F0D">
              <w:rPr>
                <w:b/>
              </w:rPr>
              <w:t>Student Resource:</w:t>
            </w:r>
            <w:r>
              <w:t xml:space="preserve"> Data sets and explanations of variables</w:t>
            </w:r>
          </w:p>
          <w:p w:rsidR="00CD0F0D" w:rsidRDefault="00CD0F0D"/>
          <w:p w:rsidR="00CD0F0D" w:rsidRDefault="00CD0F0D">
            <w:r>
              <w:t xml:space="preserve">The Schedule – The Nuts and Bolts of the assessment </w:t>
            </w:r>
          </w:p>
          <w:p w:rsidR="00CD0F0D" w:rsidRDefault="00CD0F0D">
            <w:r>
              <w:rPr>
                <w:noProof/>
                <w:lang w:eastAsia="en-NZ"/>
              </w:rPr>
              <mc:AlternateContent>
                <mc:Choice Requires="wps">
                  <w:drawing>
                    <wp:anchor distT="45720" distB="45720" distL="114300" distR="114300" simplePos="0" relativeHeight="251659264" behindDoc="0" locked="0" layoutInCell="1" allowOverlap="1">
                      <wp:simplePos x="0" y="0"/>
                      <wp:positionH relativeFrom="column">
                        <wp:posOffset>3052445</wp:posOffset>
                      </wp:positionH>
                      <wp:positionV relativeFrom="paragraph">
                        <wp:posOffset>134620</wp:posOffset>
                      </wp:positionV>
                      <wp:extent cx="3235325" cy="4667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466725"/>
                              </a:xfrm>
                              <a:prstGeom prst="rect">
                                <a:avLst/>
                              </a:prstGeom>
                              <a:solidFill>
                                <a:srgbClr val="FFFFFF"/>
                              </a:solidFill>
                              <a:ln w="9525">
                                <a:solidFill>
                                  <a:srgbClr val="000000"/>
                                </a:solidFill>
                                <a:miter lim="800000"/>
                                <a:headEnd/>
                                <a:tailEnd/>
                              </a:ln>
                            </wps:spPr>
                            <wps:txbx>
                              <w:txbxContent>
                                <w:p w:rsidR="001A08DA" w:rsidRPr="00CD0F0D" w:rsidRDefault="001A08DA" w:rsidP="00CD0F0D">
                                  <w:pPr>
                                    <w:rPr>
                                      <w:b/>
                                    </w:rPr>
                                  </w:pPr>
                                  <w:r w:rsidRPr="00CD0F0D">
                                    <w:rPr>
                                      <w:b/>
                                    </w:rPr>
                                    <w:t xml:space="preserve">The Evidence section comes from the levels from the standard. </w:t>
                                  </w:r>
                                </w:p>
                                <w:p w:rsidR="001A08DA" w:rsidRDefault="001A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35pt;margin-top:10.6pt;width:25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">
                      <v:textbox>
                        <w:txbxContent>
                          <w:p w:rsidR="001A08DA" w:rsidRPr="00CD0F0D" w:rsidRDefault="001A08DA" w:rsidP="00CD0F0D">
                            <w:pPr>
                              <w:rPr>
                                <w:b/>
                              </w:rPr>
                            </w:pPr>
                            <w:r w:rsidRPr="00CD0F0D">
                              <w:rPr>
                                <w:b/>
                              </w:rPr>
                              <w:t xml:space="preserve">The Evidence section comes from the levels from the standard. </w:t>
                            </w:r>
                          </w:p>
                          <w:p w:rsidR="001A08DA" w:rsidRDefault="001A08DA"/>
                        </w:txbxContent>
                      </v:textbox>
                      <w10:wrap type="square"/>
                    </v:shape>
                  </w:pict>
                </mc:Fallback>
              </mc:AlternateContent>
            </w:r>
          </w:p>
          <w:p w:rsidR="00CD0F0D" w:rsidRDefault="00CD0F0D"/>
          <w:p w:rsidR="00CD0F0D" w:rsidRDefault="00CD0F0D"/>
          <w:p w:rsidR="00CD0F0D" w:rsidRDefault="00CD0F0D"/>
          <w:p w:rsidR="00CD0F0D" w:rsidRDefault="00CD0F0D">
            <w:r>
              <w:rPr>
                <w:noProof/>
                <w:lang w:eastAsia="en-NZ"/>
              </w:rPr>
              <w:drawing>
                <wp:inline distT="0" distB="0" distL="0" distR="0" wp14:anchorId="576D2CA9" wp14:editId="4DD1CCA6">
                  <wp:extent cx="6645910" cy="10693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69340"/>
                          </a:xfrm>
                          <a:prstGeom prst="rect">
                            <a:avLst/>
                          </a:prstGeom>
                        </pic:spPr>
                      </pic:pic>
                    </a:graphicData>
                  </a:graphic>
                </wp:inline>
              </w:drawing>
            </w:r>
          </w:p>
          <w:p w:rsidR="00CD0F0D" w:rsidRDefault="00CD0F0D"/>
          <w:p w:rsidR="00CD0F0D" w:rsidRDefault="00CD0F0D"/>
          <w:p w:rsidR="00CD0F0D" w:rsidRDefault="00CD0F0D"/>
          <w:p w:rsidR="00CD0F0D" w:rsidRDefault="00EE281F">
            <w:r>
              <w:rPr>
                <w:noProof/>
                <w:lang w:eastAsia="en-NZ"/>
              </w:rPr>
              <w:lastRenderedPageBreak/>
              <mc:AlternateContent>
                <mc:Choice Requires="wps">
                  <w:drawing>
                    <wp:anchor distT="0" distB="0" distL="114300" distR="114300" simplePos="0" relativeHeight="251658239" behindDoc="0" locked="0" layoutInCell="1" allowOverlap="1">
                      <wp:simplePos x="0" y="0"/>
                      <wp:positionH relativeFrom="column">
                        <wp:posOffset>1518920</wp:posOffset>
                      </wp:positionH>
                      <wp:positionV relativeFrom="paragraph">
                        <wp:posOffset>2327275</wp:posOffset>
                      </wp:positionV>
                      <wp:extent cx="4362450" cy="1562100"/>
                      <wp:effectExtent l="19050" t="19050" r="19050" b="19050"/>
                      <wp:wrapNone/>
                      <wp:docPr id="10" name="Oval 10"/>
                      <wp:cNvGraphicFramePr/>
                      <a:graphic xmlns:a="http://schemas.openxmlformats.org/drawingml/2006/main">
                        <a:graphicData uri="http://schemas.microsoft.com/office/word/2010/wordprocessingShape">
                          <wps:wsp>
                            <wps:cNvSpPr/>
                            <wps:spPr>
                              <a:xfrm>
                                <a:off x="0" y="0"/>
                                <a:ext cx="4362450" cy="15621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55226" id="Oval 10" o:spid="_x0000_s1026" style="position:absolute;margin-left:119.6pt;margin-top:183.25pt;width:343.5pt;height:1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" filled="f" strokecolor="black [3213]" strokeweight="2.25pt">
                      <v:stroke joinstyle="miter"/>
                    </v:oval>
                  </w:pict>
                </mc:Fallback>
              </mc:AlternateContent>
            </w:r>
            <w:r>
              <w:rPr>
                <w:noProof/>
                <w:lang w:eastAsia="en-NZ"/>
              </w:rPr>
              <mc:AlternateContent>
                <mc:Choice Requires="wps">
                  <w:drawing>
                    <wp:anchor distT="45720" distB="45720" distL="114300" distR="114300" simplePos="0" relativeHeight="251662336" behindDoc="0" locked="0" layoutInCell="1" allowOverlap="1">
                      <wp:simplePos x="0" y="0"/>
                      <wp:positionH relativeFrom="column">
                        <wp:posOffset>109220</wp:posOffset>
                      </wp:positionH>
                      <wp:positionV relativeFrom="paragraph">
                        <wp:posOffset>184150</wp:posOffset>
                      </wp:positionV>
                      <wp:extent cx="6143625" cy="1404620"/>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rsidR="001A08DA" w:rsidRDefault="001A08DA">
                                  <w:r>
                                    <w:t xml:space="preserve">The following contains Bullet Point 3 – with </w:t>
                                  </w:r>
                                  <w:proofErr w:type="gramStart"/>
                                  <w:r>
                                    <w:t>the  description</w:t>
                                  </w:r>
                                  <w:proofErr w:type="gramEnd"/>
                                  <w:r>
                                    <w:t xml:space="preserve"> of the Statistical enquiry cycle at the various levels – note the step ups from before: </w:t>
                                  </w:r>
                                </w:p>
                                <w:p w:rsidR="001A08DA" w:rsidRDefault="001A08DA">
                                  <w:r>
                                    <w:t xml:space="preserve">Achieved – </w:t>
                                  </w:r>
                                  <w:r>
                                    <w:rPr>
                                      <w:rFonts w:ascii="Verdana" w:hAnsi="Verdana"/>
                                      <w:color w:val="333333"/>
                                      <w:sz w:val="20"/>
                                      <w:szCs w:val="20"/>
                                      <w:shd w:val="clear" w:color="auto" w:fill="F2F2F2"/>
                                    </w:rPr>
                                    <w:t xml:space="preserve">At Achieved </w:t>
                                  </w:r>
                                  <w:proofErr w:type="gramStart"/>
                                  <w:r>
                                    <w:rPr>
                                      <w:rFonts w:ascii="Verdana" w:hAnsi="Verdana"/>
                                      <w:color w:val="333333"/>
                                      <w:sz w:val="20"/>
                                      <w:szCs w:val="20"/>
                                      <w:shd w:val="clear" w:color="auto" w:fill="F2F2F2"/>
                                    </w:rPr>
                                    <w:t>level</w:t>
                                  </w:r>
                                  <w:proofErr w:type="gramEnd"/>
                                  <w:r>
                                    <w:rPr>
                                      <w:rFonts w:ascii="Verdana" w:hAnsi="Verdana"/>
                                      <w:color w:val="333333"/>
                                      <w:sz w:val="20"/>
                                      <w:szCs w:val="20"/>
                                      <w:shd w:val="clear" w:color="auto" w:fill="F2F2F2"/>
                                    </w:rPr>
                                    <w:t xml:space="preserve"> students need to provide evidence of using each component of the ‘process’.</w:t>
                                  </w:r>
                                </w:p>
                                <w:p w:rsidR="001A08DA" w:rsidRDefault="001A08DA">
                                  <w:r>
                                    <w:t xml:space="preserve">Merit – </w:t>
                                  </w:r>
                                  <w:r>
                                    <w:rPr>
                                      <w:rFonts w:ascii="Verdana" w:hAnsi="Verdana"/>
                                      <w:color w:val="333333"/>
                                      <w:sz w:val="20"/>
                                      <w:szCs w:val="20"/>
                                      <w:shd w:val="clear" w:color="auto" w:fill="F2F2F2"/>
                                    </w:rPr>
                                    <w:t>Link components of the ‘</w:t>
                                  </w:r>
                                  <w:proofErr w:type="gramStart"/>
                                  <w:r>
                                    <w:rPr>
                                      <w:rFonts w:ascii="Verdana" w:hAnsi="Verdana"/>
                                      <w:color w:val="333333"/>
                                      <w:sz w:val="20"/>
                                      <w:szCs w:val="20"/>
                                      <w:shd w:val="clear" w:color="auto" w:fill="F2F2F2"/>
                                    </w:rPr>
                                    <w:t>process’</w:t>
                                  </w:r>
                                  <w:proofErr w:type="gramEnd"/>
                                  <w:r>
                                    <w:rPr>
                                      <w:rFonts w:ascii="Verdana" w:hAnsi="Verdana"/>
                                      <w:color w:val="333333"/>
                                      <w:sz w:val="20"/>
                                      <w:szCs w:val="20"/>
                                      <w:shd w:val="clear" w:color="auto" w:fill="F2F2F2"/>
                                    </w:rPr>
                                    <w:t xml:space="preserve"> to the context.  The justification comes from providing supporting evidence for any comments.</w:t>
                                  </w:r>
                                </w:p>
                                <w:p w:rsidR="001A08DA" w:rsidRDefault="001A08DA">
                                  <w:r>
                                    <w:t xml:space="preserve">Excellence – </w:t>
                                  </w:r>
                                  <w:r>
                                    <w:rPr>
                                      <w:rFonts w:ascii="Verdana" w:hAnsi="Verdana"/>
                                      <w:color w:val="333333"/>
                                      <w:sz w:val="20"/>
                                      <w:szCs w:val="20"/>
                                      <w:shd w:val="clear" w:color="auto" w:fill="F2F2F2"/>
                                    </w:rPr>
                                    <w:t>Integrate statistical and contextual knowledge throughout the ‘</w:t>
                                  </w:r>
                                  <w:proofErr w:type="gramStart"/>
                                  <w:r>
                                    <w:rPr>
                                      <w:rFonts w:ascii="Verdana" w:hAnsi="Verdana"/>
                                      <w:color w:val="333333"/>
                                      <w:sz w:val="20"/>
                                      <w:szCs w:val="20"/>
                                      <w:shd w:val="clear" w:color="auto" w:fill="F2F2F2"/>
                                    </w:rPr>
                                    <w:t>process’</w:t>
                                  </w:r>
                                  <w:proofErr w:type="gramEnd"/>
                                  <w:r>
                                    <w:rPr>
                                      <w:rFonts w:ascii="Verdana" w:hAnsi="Verdana"/>
                                      <w:color w:val="333333"/>
                                      <w:sz w:val="20"/>
                                      <w:szCs w:val="20"/>
                                      <w:shd w:val="clear" w:color="auto" w:fill="F2F2F2"/>
                                    </w:rPr>
                                    <w:t>.  They need to have an understanding about the context and are expected to demonstrate they have thought about the ‘process’ they have undertaken and their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6pt;margin-top:14.5pt;width:48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">
                      <v:textbox style="mso-fit-shape-to-text:t">
                        <w:txbxContent>
                          <w:p w:rsidR="001A08DA" w:rsidRDefault="001A08DA">
                            <w:r>
                              <w:t xml:space="preserve">The following contains Bullet Point 3 – with </w:t>
                            </w:r>
                            <w:proofErr w:type="gramStart"/>
                            <w:r>
                              <w:t>the  description</w:t>
                            </w:r>
                            <w:proofErr w:type="gramEnd"/>
                            <w:r>
                              <w:t xml:space="preserve"> of the Statistical enquiry cycle at the various levels – note the step ups from before: </w:t>
                            </w:r>
                          </w:p>
                          <w:p w:rsidR="001A08DA" w:rsidRDefault="001A08DA">
                            <w:r>
                              <w:t xml:space="preserve">Achieved – </w:t>
                            </w:r>
                            <w:r>
                              <w:rPr>
                                <w:rFonts w:ascii="Verdana" w:hAnsi="Verdana"/>
                                <w:color w:val="333333"/>
                                <w:sz w:val="20"/>
                                <w:szCs w:val="20"/>
                                <w:shd w:val="clear" w:color="auto" w:fill="F2F2F2"/>
                              </w:rPr>
                              <w:t xml:space="preserve">At Achieved </w:t>
                            </w:r>
                            <w:proofErr w:type="gramStart"/>
                            <w:r>
                              <w:rPr>
                                <w:rFonts w:ascii="Verdana" w:hAnsi="Verdana"/>
                                <w:color w:val="333333"/>
                                <w:sz w:val="20"/>
                                <w:szCs w:val="20"/>
                                <w:shd w:val="clear" w:color="auto" w:fill="F2F2F2"/>
                              </w:rPr>
                              <w:t>level</w:t>
                            </w:r>
                            <w:proofErr w:type="gramEnd"/>
                            <w:r>
                              <w:rPr>
                                <w:rFonts w:ascii="Verdana" w:hAnsi="Verdana"/>
                                <w:color w:val="333333"/>
                                <w:sz w:val="20"/>
                                <w:szCs w:val="20"/>
                                <w:shd w:val="clear" w:color="auto" w:fill="F2F2F2"/>
                              </w:rPr>
                              <w:t xml:space="preserve"> students need to provide evidence of using each component of the ‘process’.</w:t>
                            </w:r>
                          </w:p>
                          <w:p w:rsidR="001A08DA" w:rsidRDefault="001A08DA">
                            <w:r>
                              <w:t xml:space="preserve">Merit – </w:t>
                            </w:r>
                            <w:r>
                              <w:rPr>
                                <w:rFonts w:ascii="Verdana" w:hAnsi="Verdana"/>
                                <w:color w:val="333333"/>
                                <w:sz w:val="20"/>
                                <w:szCs w:val="20"/>
                                <w:shd w:val="clear" w:color="auto" w:fill="F2F2F2"/>
                              </w:rPr>
                              <w:t>Link components of the ‘</w:t>
                            </w:r>
                            <w:proofErr w:type="gramStart"/>
                            <w:r>
                              <w:rPr>
                                <w:rFonts w:ascii="Verdana" w:hAnsi="Verdana"/>
                                <w:color w:val="333333"/>
                                <w:sz w:val="20"/>
                                <w:szCs w:val="20"/>
                                <w:shd w:val="clear" w:color="auto" w:fill="F2F2F2"/>
                              </w:rPr>
                              <w:t>process’</w:t>
                            </w:r>
                            <w:proofErr w:type="gramEnd"/>
                            <w:r>
                              <w:rPr>
                                <w:rFonts w:ascii="Verdana" w:hAnsi="Verdana"/>
                                <w:color w:val="333333"/>
                                <w:sz w:val="20"/>
                                <w:szCs w:val="20"/>
                                <w:shd w:val="clear" w:color="auto" w:fill="F2F2F2"/>
                              </w:rPr>
                              <w:t xml:space="preserve"> to the context.  The justification comes from providing supporting evidence for any comments.</w:t>
                            </w:r>
                          </w:p>
                          <w:p w:rsidR="001A08DA" w:rsidRDefault="001A08DA">
                            <w:r>
                              <w:t xml:space="preserve">Excellence – </w:t>
                            </w:r>
                            <w:r>
                              <w:rPr>
                                <w:rFonts w:ascii="Verdana" w:hAnsi="Verdana"/>
                                <w:color w:val="333333"/>
                                <w:sz w:val="20"/>
                                <w:szCs w:val="20"/>
                                <w:shd w:val="clear" w:color="auto" w:fill="F2F2F2"/>
                              </w:rPr>
                              <w:t>Integrate statistical and contextual knowledge throughout the ‘</w:t>
                            </w:r>
                            <w:proofErr w:type="gramStart"/>
                            <w:r>
                              <w:rPr>
                                <w:rFonts w:ascii="Verdana" w:hAnsi="Verdana"/>
                                <w:color w:val="333333"/>
                                <w:sz w:val="20"/>
                                <w:szCs w:val="20"/>
                                <w:shd w:val="clear" w:color="auto" w:fill="F2F2F2"/>
                              </w:rPr>
                              <w:t>process’</w:t>
                            </w:r>
                            <w:proofErr w:type="gramEnd"/>
                            <w:r>
                              <w:rPr>
                                <w:rFonts w:ascii="Verdana" w:hAnsi="Verdana"/>
                                <w:color w:val="333333"/>
                                <w:sz w:val="20"/>
                                <w:szCs w:val="20"/>
                                <w:shd w:val="clear" w:color="auto" w:fill="F2F2F2"/>
                              </w:rPr>
                              <w:t>.  They need to have an understanding about the context and are expected to demonstrate they have thought about the ‘process’ they have undertaken and their findings.</w:t>
                            </w:r>
                          </w:p>
                        </w:txbxContent>
                      </v:textbox>
                      <w10:wrap type="square"/>
                    </v:shape>
                  </w:pict>
                </mc:Fallback>
              </mc:AlternateContent>
            </w:r>
            <w:r>
              <w:rPr>
                <w:noProof/>
                <w:lang w:eastAsia="en-NZ"/>
              </w:rPr>
              <w:drawing>
                <wp:inline distT="0" distB="0" distL="0" distR="0" wp14:anchorId="16141D4E" wp14:editId="1CB4EB2B">
                  <wp:extent cx="5369684" cy="213894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836" cy="2147772"/>
                          </a:xfrm>
                          <a:prstGeom prst="rect">
                            <a:avLst/>
                          </a:prstGeom>
                        </pic:spPr>
                      </pic:pic>
                    </a:graphicData>
                  </a:graphic>
                </wp:inline>
              </w:drawing>
            </w:r>
          </w:p>
          <w:p w:rsidR="00CD0F0D" w:rsidRDefault="00CD0F0D"/>
          <w:p w:rsidR="00CD0F0D" w:rsidRDefault="00CD0F0D"/>
          <w:p w:rsidR="00CD0F0D" w:rsidRDefault="00BF40C9">
            <w:r>
              <w:t xml:space="preserve">The rest of the schedule is the explanation of the requirements of the statistical enquiry cycle at the various levels. </w:t>
            </w:r>
          </w:p>
          <w:p w:rsidR="00BF40C9" w:rsidRDefault="00BF40C9"/>
          <w:p w:rsidR="00BF40C9" w:rsidRDefault="00BF40C9">
            <w:r>
              <w:rPr>
                <w:noProof/>
                <w:lang w:eastAsia="en-NZ"/>
              </w:rPr>
              <w:drawing>
                <wp:inline distT="0" distB="0" distL="0" distR="0" wp14:anchorId="21941D03" wp14:editId="188874B7">
                  <wp:extent cx="6419850" cy="269896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0928" cy="2703619"/>
                          </a:xfrm>
                          <a:prstGeom prst="rect">
                            <a:avLst/>
                          </a:prstGeom>
                        </pic:spPr>
                      </pic:pic>
                    </a:graphicData>
                  </a:graphic>
                </wp:inline>
              </w:drawing>
            </w:r>
          </w:p>
          <w:p w:rsidR="00BF40C9" w:rsidRDefault="00BF40C9"/>
          <w:p w:rsidR="001B2BA3" w:rsidRDefault="001B2BA3" w:rsidP="00BF40C9"/>
        </w:tc>
      </w:tr>
    </w:tbl>
    <w:p w:rsidR="001B2BA3" w:rsidRDefault="001B2BA3"/>
    <w:p w:rsidR="00BF40C9" w:rsidRDefault="00BF40C9"/>
    <w:tbl>
      <w:tblPr>
        <w:tblStyle w:val="TableGrid"/>
        <w:tblW w:w="0" w:type="auto"/>
        <w:tblLook w:val="04A0" w:firstRow="1" w:lastRow="0" w:firstColumn="1" w:lastColumn="0" w:noHBand="0" w:noVBand="1"/>
      </w:tblPr>
      <w:tblGrid>
        <w:gridCol w:w="10456"/>
      </w:tblGrid>
      <w:tr w:rsidR="00BF40C9" w:rsidTr="00BF40C9">
        <w:tc>
          <w:tcPr>
            <w:tcW w:w="10456" w:type="dxa"/>
          </w:tcPr>
          <w:p w:rsidR="00BF40C9" w:rsidRDefault="00BF40C9"/>
          <w:p w:rsidR="00BF40C9" w:rsidRDefault="00BF40C9">
            <w:proofErr w:type="gramStart"/>
            <w:r>
              <w:t>But</w:t>
            </w:r>
            <w:proofErr w:type="gramEnd"/>
            <w:r>
              <w:t xml:space="preserve"> wait, there’s more!</w:t>
            </w:r>
          </w:p>
          <w:p w:rsidR="001A08DA" w:rsidRDefault="001A08DA" w:rsidP="001A08DA">
            <w:pPr>
              <w:pStyle w:val="Title"/>
            </w:pPr>
            <w:r>
              <w:t>HOW – PART 3 – The clarifications</w:t>
            </w:r>
          </w:p>
          <w:p w:rsidR="00BF40C9" w:rsidRDefault="00BF40C9" w:rsidP="00BF40C9"/>
          <w:p w:rsidR="00BF40C9" w:rsidRDefault="00BF40C9" w:rsidP="00BF40C9"/>
          <w:p w:rsidR="00BF40C9" w:rsidRDefault="00BF40C9" w:rsidP="00BF40C9">
            <w:r>
              <w:t xml:space="preserve">You will also need to check your interpretation of the </w:t>
            </w:r>
            <w:proofErr w:type="spellStart"/>
            <w:r>
              <w:t>tki</w:t>
            </w:r>
            <w:proofErr w:type="spellEnd"/>
            <w:r>
              <w:t xml:space="preserve"> schedule alongside the standard clarifications on the NZQA website to ensure your assessment conditions such as a ‘named populations’ and </w:t>
            </w:r>
            <w:r w:rsidR="00696B89">
              <w:t xml:space="preserve">required quality of student responses are reflected in the Task and Schedule. </w:t>
            </w:r>
          </w:p>
          <w:p w:rsidR="00696B89" w:rsidRDefault="00696B89" w:rsidP="00BF40C9"/>
          <w:p w:rsidR="00696B89" w:rsidRDefault="00696B89" w:rsidP="00BF40C9">
            <w:r>
              <w:t xml:space="preserve">This </w:t>
            </w:r>
            <w:proofErr w:type="gramStart"/>
            <w:r>
              <w:t>is often updated</w:t>
            </w:r>
            <w:proofErr w:type="gramEnd"/>
            <w:r>
              <w:t xml:space="preserve"> – and this is advertised via Facebook, the Network of Enterprise newsletter and Principal’s Nominee’s newsletters. Making checking the clarifications part of the assessment writing process is key to staying up to date. </w:t>
            </w:r>
          </w:p>
          <w:p w:rsidR="00696B89" w:rsidRDefault="00696B89" w:rsidP="00BF40C9"/>
          <w:p w:rsidR="00696B89" w:rsidRDefault="00696B89" w:rsidP="00BF40C9">
            <w:r>
              <w:rPr>
                <w:noProof/>
                <w:lang w:eastAsia="en-NZ"/>
              </w:rPr>
              <w:drawing>
                <wp:inline distT="0" distB="0" distL="0" distR="0" wp14:anchorId="7B7D374C" wp14:editId="0331D177">
                  <wp:extent cx="4147737" cy="3408218"/>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3224" cy="3412726"/>
                          </a:xfrm>
                          <a:prstGeom prst="rect">
                            <a:avLst/>
                          </a:prstGeom>
                        </pic:spPr>
                      </pic:pic>
                    </a:graphicData>
                  </a:graphic>
                </wp:inline>
              </w:drawing>
            </w:r>
          </w:p>
          <w:p w:rsidR="00696B89" w:rsidRPr="00BF40C9" w:rsidRDefault="00696B89" w:rsidP="00BF40C9"/>
        </w:tc>
      </w:tr>
    </w:tbl>
    <w:p w:rsidR="00BF40C9" w:rsidRDefault="00BF40C9"/>
    <w:tbl>
      <w:tblPr>
        <w:tblStyle w:val="TableGrid"/>
        <w:tblW w:w="0" w:type="auto"/>
        <w:tblLook w:val="04A0" w:firstRow="1" w:lastRow="0" w:firstColumn="1" w:lastColumn="0" w:noHBand="0" w:noVBand="1"/>
      </w:tblPr>
      <w:tblGrid>
        <w:gridCol w:w="10456"/>
      </w:tblGrid>
      <w:tr w:rsidR="001A08DA" w:rsidTr="001A08DA">
        <w:tc>
          <w:tcPr>
            <w:tcW w:w="10456" w:type="dxa"/>
          </w:tcPr>
          <w:p w:rsidR="001A08DA" w:rsidRDefault="001A08DA" w:rsidP="001A08DA"/>
          <w:p w:rsidR="001A08DA" w:rsidRDefault="001A08DA" w:rsidP="001A08DA">
            <w:pPr>
              <w:pStyle w:val="Title"/>
            </w:pPr>
            <w:r>
              <w:t>WITH WHOM?</w:t>
            </w:r>
          </w:p>
          <w:p w:rsidR="001A08DA" w:rsidRDefault="001A08DA" w:rsidP="001A08DA">
            <w:pPr>
              <w:pStyle w:val="Heading1"/>
              <w:outlineLvl w:val="0"/>
            </w:pPr>
            <w:r>
              <w:t>Buddy writing assessments is the best use of teacher time</w:t>
            </w:r>
          </w:p>
          <w:p w:rsidR="001A08DA" w:rsidRPr="001A08DA" w:rsidRDefault="001A08DA" w:rsidP="001A08DA">
            <w:pPr>
              <w:rPr>
                <w:rFonts w:cstheme="minorHAnsi"/>
                <w:sz w:val="24"/>
                <w:szCs w:val="24"/>
              </w:rPr>
            </w:pPr>
            <w:r w:rsidRPr="001A08DA">
              <w:rPr>
                <w:rFonts w:cstheme="minorHAnsi"/>
                <w:color w:val="424242"/>
                <w:sz w:val="24"/>
                <w:szCs w:val="24"/>
              </w:rPr>
              <w:t>Having constructed a DRAFT assessment - it is a good idea for both to write an assessment each. </w:t>
            </w:r>
          </w:p>
          <w:p w:rsidR="001A08DA" w:rsidRPr="001A08DA" w:rsidRDefault="001A08DA" w:rsidP="001A08DA">
            <w:pPr>
              <w:rPr>
                <w:rFonts w:cstheme="minorHAnsi"/>
                <w:sz w:val="24"/>
                <w:szCs w:val="24"/>
              </w:rPr>
            </w:pPr>
            <w:r w:rsidRPr="001A08DA">
              <w:rPr>
                <w:rFonts w:cstheme="minorHAnsi"/>
                <w:color w:val="424242"/>
                <w:sz w:val="24"/>
                <w:szCs w:val="24"/>
              </w:rPr>
              <w:t xml:space="preserve">This puts you in the mind of the student - it allows you to understand the cognitive load on students to complete the reports.  Is </w:t>
            </w:r>
            <w:proofErr w:type="gramStart"/>
            <w:r w:rsidRPr="001A08DA">
              <w:rPr>
                <w:rFonts w:cstheme="minorHAnsi"/>
                <w:color w:val="424242"/>
                <w:sz w:val="24"/>
                <w:szCs w:val="24"/>
              </w:rPr>
              <w:t>an eye opener</w:t>
            </w:r>
            <w:proofErr w:type="gramEnd"/>
            <w:r w:rsidRPr="001A08DA">
              <w:rPr>
                <w:rFonts w:cstheme="minorHAnsi"/>
                <w:color w:val="424242"/>
                <w:sz w:val="24"/>
                <w:szCs w:val="24"/>
              </w:rPr>
              <w:t>. </w:t>
            </w:r>
          </w:p>
          <w:p w:rsidR="001A08DA" w:rsidRPr="001A08DA" w:rsidRDefault="001A08DA" w:rsidP="001A08DA">
            <w:pPr>
              <w:rPr>
                <w:rFonts w:cstheme="minorHAnsi"/>
                <w:sz w:val="24"/>
                <w:szCs w:val="24"/>
              </w:rPr>
            </w:pPr>
            <w:r w:rsidRPr="001A08DA">
              <w:rPr>
                <w:rFonts w:cstheme="minorHAnsi"/>
                <w:color w:val="424242"/>
                <w:sz w:val="24"/>
                <w:szCs w:val="24"/>
              </w:rPr>
              <w:t xml:space="preserve">Swap assessments and peer mark - this is confronting so adhere to professional boundaries and ensure new teachers </w:t>
            </w:r>
            <w:proofErr w:type="gramStart"/>
            <w:r w:rsidRPr="001A08DA">
              <w:rPr>
                <w:rFonts w:cstheme="minorHAnsi"/>
                <w:color w:val="424242"/>
                <w:sz w:val="24"/>
                <w:szCs w:val="24"/>
              </w:rPr>
              <w:t>are supported</w:t>
            </w:r>
            <w:proofErr w:type="gramEnd"/>
            <w:r w:rsidRPr="001A08DA">
              <w:rPr>
                <w:rFonts w:cstheme="minorHAnsi"/>
                <w:color w:val="424242"/>
                <w:sz w:val="24"/>
                <w:szCs w:val="24"/>
              </w:rPr>
              <w:t xml:space="preserve">. </w:t>
            </w:r>
          </w:p>
          <w:p w:rsidR="001A08DA" w:rsidRDefault="001A08DA" w:rsidP="001A08DA">
            <w:pPr>
              <w:pStyle w:val="Heading1"/>
              <w:outlineLvl w:val="0"/>
            </w:pPr>
            <w:r>
              <w:t>Check teachers are aware of conditions of assessments</w:t>
            </w:r>
          </w:p>
          <w:p w:rsidR="001A08DA" w:rsidRDefault="001A08DA" w:rsidP="001A08DA"/>
          <w:p w:rsidR="001A08DA" w:rsidRPr="001A08DA" w:rsidRDefault="001A08DA" w:rsidP="001A08DA">
            <w:pPr>
              <w:rPr>
                <w:rFonts w:cstheme="minorHAnsi"/>
                <w:sz w:val="24"/>
                <w:szCs w:val="24"/>
              </w:rPr>
            </w:pPr>
            <w:r w:rsidRPr="001A08DA">
              <w:rPr>
                <w:rFonts w:cstheme="minorHAnsi"/>
                <w:sz w:val="24"/>
                <w:szCs w:val="24"/>
              </w:rPr>
              <w:t xml:space="preserve">Distribute assessments to teachers for feedback - we use different coloured paper in teacher’s </w:t>
            </w:r>
            <w:proofErr w:type="gramStart"/>
            <w:r w:rsidRPr="001A08DA">
              <w:rPr>
                <w:rFonts w:cstheme="minorHAnsi"/>
                <w:sz w:val="24"/>
                <w:szCs w:val="24"/>
              </w:rPr>
              <w:t>pigeon holes</w:t>
            </w:r>
            <w:proofErr w:type="gramEnd"/>
            <w:r w:rsidRPr="001A08DA">
              <w:rPr>
                <w:rFonts w:cstheme="minorHAnsi"/>
                <w:sz w:val="24"/>
                <w:szCs w:val="24"/>
              </w:rPr>
              <w:t>.  </w:t>
            </w:r>
          </w:p>
          <w:p w:rsidR="001A08DA" w:rsidRPr="001A08DA" w:rsidRDefault="001A08DA" w:rsidP="001A08DA">
            <w:pPr>
              <w:rPr>
                <w:rFonts w:cstheme="minorHAnsi"/>
                <w:sz w:val="24"/>
                <w:szCs w:val="24"/>
              </w:rPr>
            </w:pPr>
            <w:r w:rsidRPr="001A08DA">
              <w:rPr>
                <w:rFonts w:cstheme="minorHAnsi"/>
                <w:sz w:val="24"/>
                <w:szCs w:val="24"/>
              </w:rPr>
              <w:t>Feedback can be spotty - this could change with the new standards where teachers could be strongly encouraged to complete reports and give their own feedback. </w:t>
            </w:r>
          </w:p>
          <w:p w:rsidR="001A08DA" w:rsidRPr="001A08DA" w:rsidRDefault="001A08DA" w:rsidP="001A08DA">
            <w:pPr>
              <w:rPr>
                <w:rFonts w:cstheme="minorHAnsi"/>
                <w:sz w:val="24"/>
                <w:szCs w:val="24"/>
              </w:rPr>
            </w:pPr>
            <w:r w:rsidRPr="001A08DA">
              <w:rPr>
                <w:rFonts w:cstheme="minorHAnsi"/>
                <w:sz w:val="24"/>
                <w:szCs w:val="24"/>
              </w:rPr>
              <w:t xml:space="preserve">Assessment meetings before the teaching of the standard are ideal - saves difficult conversations later on. </w:t>
            </w:r>
          </w:p>
          <w:p w:rsidR="001A08DA" w:rsidRDefault="001A08DA" w:rsidP="001A08DA"/>
        </w:tc>
      </w:tr>
    </w:tbl>
    <w:p w:rsidR="001A08DA" w:rsidRDefault="001A08DA"/>
    <w:p w:rsidR="001A08DA" w:rsidRDefault="001A08DA">
      <w:bookmarkStart w:id="0" w:name="_GoBack"/>
      <w:bookmarkEnd w:id="0"/>
    </w:p>
    <w:sectPr w:rsidR="001A08DA" w:rsidSect="004916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7291E"/>
    <w:multiLevelType w:val="hybridMultilevel"/>
    <w:tmpl w:val="31D2B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B4"/>
    <w:rsid w:val="001A08DA"/>
    <w:rsid w:val="001B2BA3"/>
    <w:rsid w:val="002E6294"/>
    <w:rsid w:val="00382851"/>
    <w:rsid w:val="003B1BDF"/>
    <w:rsid w:val="003B3D06"/>
    <w:rsid w:val="003C64E5"/>
    <w:rsid w:val="004916B4"/>
    <w:rsid w:val="004A21A5"/>
    <w:rsid w:val="00516B58"/>
    <w:rsid w:val="00696B89"/>
    <w:rsid w:val="007B4AB5"/>
    <w:rsid w:val="00807560"/>
    <w:rsid w:val="00970ED2"/>
    <w:rsid w:val="00BE539B"/>
    <w:rsid w:val="00BF40C9"/>
    <w:rsid w:val="00CD0F0D"/>
    <w:rsid w:val="00EE281F"/>
    <w:rsid w:val="00F23757"/>
    <w:rsid w:val="00F851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1F050"/>
  <w15:chartTrackingRefBased/>
  <w15:docId w15:val="{7EBA0379-20BF-4AAD-AEE8-25D253C2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BA3"/>
    <w:pPr>
      <w:keepNext/>
      <w:keepLines/>
      <w:spacing w:before="240" w:after="0"/>
      <w:outlineLvl w:val="0"/>
    </w:pPr>
    <w:rPr>
      <w:rFonts w:asciiTheme="majorHAnsi" w:eastAsiaTheme="majorEastAsia" w:hAnsiTheme="majorHAnsi" w:cstheme="majorBidi"/>
      <w:b/>
      <w:color w:val="5B9BD5" w:themeColor="accent1"/>
      <w:sz w:val="32"/>
      <w:szCs w:val="32"/>
    </w:rPr>
  </w:style>
  <w:style w:type="paragraph" w:styleId="Heading2">
    <w:name w:val="heading 2"/>
    <w:basedOn w:val="Normal"/>
    <w:next w:val="Normal"/>
    <w:link w:val="Heading2Char"/>
    <w:uiPriority w:val="9"/>
    <w:unhideWhenUsed/>
    <w:qFormat/>
    <w:rsid w:val="001A08D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16B4"/>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916B4"/>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1B2BA3"/>
    <w:rPr>
      <w:rFonts w:asciiTheme="majorHAnsi" w:eastAsiaTheme="majorEastAsia" w:hAnsiTheme="majorHAnsi" w:cstheme="majorBidi"/>
      <w:b/>
      <w:color w:val="5B9BD5" w:themeColor="accent1"/>
      <w:sz w:val="32"/>
      <w:szCs w:val="32"/>
    </w:rPr>
  </w:style>
  <w:style w:type="character" w:styleId="Hyperlink">
    <w:name w:val="Hyperlink"/>
    <w:basedOn w:val="DefaultParagraphFont"/>
    <w:uiPriority w:val="99"/>
    <w:semiHidden/>
    <w:unhideWhenUsed/>
    <w:rsid w:val="003B1BDF"/>
    <w:rPr>
      <w:color w:val="0000FF"/>
      <w:u w:val="single"/>
    </w:rPr>
  </w:style>
  <w:style w:type="paragraph" w:styleId="NormalWeb">
    <w:name w:val="Normal (Web)"/>
    <w:basedOn w:val="Normal"/>
    <w:uiPriority w:val="99"/>
    <w:semiHidden/>
    <w:unhideWhenUsed/>
    <w:rsid w:val="001B2BA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07560"/>
    <w:pPr>
      <w:ind w:left="720"/>
      <w:contextualSpacing/>
    </w:pPr>
  </w:style>
  <w:style w:type="character" w:customStyle="1" w:styleId="Heading2Char">
    <w:name w:val="Heading 2 Char"/>
    <w:basedOn w:val="DefaultParagraphFont"/>
    <w:link w:val="Heading2"/>
    <w:uiPriority w:val="9"/>
    <w:rsid w:val="001A08DA"/>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056">
      <w:bodyDiv w:val="1"/>
      <w:marLeft w:val="0"/>
      <w:marRight w:val="0"/>
      <w:marTop w:val="0"/>
      <w:marBottom w:val="0"/>
      <w:divBdr>
        <w:top w:val="none" w:sz="0" w:space="0" w:color="auto"/>
        <w:left w:val="none" w:sz="0" w:space="0" w:color="auto"/>
        <w:bottom w:val="none" w:sz="0" w:space="0" w:color="auto"/>
        <w:right w:val="none" w:sz="0" w:space="0" w:color="auto"/>
      </w:divBdr>
    </w:div>
    <w:div w:id="521213850">
      <w:bodyDiv w:val="1"/>
      <w:marLeft w:val="0"/>
      <w:marRight w:val="0"/>
      <w:marTop w:val="0"/>
      <w:marBottom w:val="0"/>
      <w:divBdr>
        <w:top w:val="none" w:sz="0" w:space="0" w:color="auto"/>
        <w:left w:val="none" w:sz="0" w:space="0" w:color="auto"/>
        <w:bottom w:val="none" w:sz="0" w:space="0" w:color="auto"/>
        <w:right w:val="none" w:sz="0" w:space="0" w:color="auto"/>
      </w:divBdr>
    </w:div>
    <w:div w:id="596209926">
      <w:bodyDiv w:val="1"/>
      <w:marLeft w:val="0"/>
      <w:marRight w:val="0"/>
      <w:marTop w:val="0"/>
      <w:marBottom w:val="0"/>
      <w:divBdr>
        <w:top w:val="none" w:sz="0" w:space="0" w:color="auto"/>
        <w:left w:val="none" w:sz="0" w:space="0" w:color="auto"/>
        <w:bottom w:val="none" w:sz="0" w:space="0" w:color="auto"/>
        <w:right w:val="none" w:sz="0" w:space="0" w:color="auto"/>
      </w:divBdr>
    </w:div>
    <w:div w:id="631322706">
      <w:bodyDiv w:val="1"/>
      <w:marLeft w:val="0"/>
      <w:marRight w:val="0"/>
      <w:marTop w:val="0"/>
      <w:marBottom w:val="0"/>
      <w:divBdr>
        <w:top w:val="none" w:sz="0" w:space="0" w:color="auto"/>
        <w:left w:val="none" w:sz="0" w:space="0" w:color="auto"/>
        <w:bottom w:val="none" w:sz="0" w:space="0" w:color="auto"/>
        <w:right w:val="none" w:sz="0" w:space="0" w:color="auto"/>
      </w:divBdr>
    </w:div>
    <w:div w:id="923806055">
      <w:bodyDiv w:val="1"/>
      <w:marLeft w:val="0"/>
      <w:marRight w:val="0"/>
      <w:marTop w:val="0"/>
      <w:marBottom w:val="0"/>
      <w:divBdr>
        <w:top w:val="none" w:sz="0" w:space="0" w:color="auto"/>
        <w:left w:val="none" w:sz="0" w:space="0" w:color="auto"/>
        <w:bottom w:val="none" w:sz="0" w:space="0" w:color="auto"/>
        <w:right w:val="none" w:sz="0" w:space="0" w:color="auto"/>
      </w:divBdr>
    </w:div>
    <w:div w:id="1203403070">
      <w:bodyDiv w:val="1"/>
      <w:marLeft w:val="0"/>
      <w:marRight w:val="0"/>
      <w:marTop w:val="0"/>
      <w:marBottom w:val="0"/>
      <w:divBdr>
        <w:top w:val="none" w:sz="0" w:space="0" w:color="auto"/>
        <w:left w:val="none" w:sz="0" w:space="0" w:color="auto"/>
        <w:bottom w:val="none" w:sz="0" w:space="0" w:color="auto"/>
        <w:right w:val="none" w:sz="0" w:space="0" w:color="auto"/>
      </w:divBdr>
    </w:div>
    <w:div w:id="1627471004">
      <w:bodyDiv w:val="1"/>
      <w:marLeft w:val="0"/>
      <w:marRight w:val="0"/>
      <w:marTop w:val="0"/>
      <w:marBottom w:val="0"/>
      <w:divBdr>
        <w:top w:val="none" w:sz="0" w:space="0" w:color="auto"/>
        <w:left w:val="none" w:sz="0" w:space="0" w:color="auto"/>
        <w:bottom w:val="none" w:sz="0" w:space="0" w:color="auto"/>
        <w:right w:val="none" w:sz="0" w:space="0" w:color="auto"/>
      </w:divBdr>
    </w:div>
    <w:div w:id="19273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F53D334C</Template>
  <TotalTime>183</TotalTime>
  <Pages>6</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 Bay High School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Edmonds</dc:creator>
  <cp:keywords/>
  <dc:description/>
  <cp:lastModifiedBy>Lucy Edmonds</cp:lastModifiedBy>
  <cp:revision>3</cp:revision>
  <dcterms:created xsi:type="dcterms:W3CDTF">2019-11-23T22:44:00Z</dcterms:created>
  <dcterms:modified xsi:type="dcterms:W3CDTF">2019-11-24T01:47:00Z</dcterms:modified>
</cp:coreProperties>
</file>