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0A" w:rsidRPr="00206D06" w:rsidRDefault="005E65C5" w:rsidP="005E65C5">
      <w:pPr>
        <w:jc w:val="center"/>
        <w:rPr>
          <w:rFonts w:ascii="Chaparral Pro Light" w:hAnsi="Chaparral Pro Light"/>
          <w:b/>
          <w:sz w:val="96"/>
          <w:szCs w:val="144"/>
        </w:rPr>
      </w:pPr>
      <w:r w:rsidRPr="00206D06">
        <w:rPr>
          <w:rFonts w:ascii="Chaparral Pro Light" w:hAnsi="Chaparral Pro Light"/>
          <w:b/>
          <w:sz w:val="96"/>
          <w:szCs w:val="144"/>
        </w:rPr>
        <w:t>Risk Activities</w:t>
      </w:r>
    </w:p>
    <w:tbl>
      <w:tblPr>
        <w:tblStyle w:val="TableGrid"/>
        <w:tblW w:w="10031" w:type="dxa"/>
        <w:tblLook w:val="04A0" w:firstRow="1" w:lastRow="0" w:firstColumn="1" w:lastColumn="0" w:noHBand="0" w:noVBand="1"/>
      </w:tblPr>
      <w:tblGrid>
        <w:gridCol w:w="2376"/>
        <w:gridCol w:w="3402"/>
        <w:gridCol w:w="4253"/>
      </w:tblGrid>
      <w:tr w:rsidR="00F9378D" w:rsidTr="00F9378D">
        <w:tc>
          <w:tcPr>
            <w:tcW w:w="2376" w:type="dxa"/>
          </w:tcPr>
          <w:p w:rsidR="00F9378D" w:rsidRPr="005E65C5" w:rsidRDefault="00F9378D">
            <w:pPr>
              <w:rPr>
                <w:b/>
                <w:sz w:val="28"/>
              </w:rPr>
            </w:pPr>
            <w:r w:rsidRPr="005E65C5">
              <w:rPr>
                <w:b/>
                <w:sz w:val="28"/>
              </w:rPr>
              <w:t>Activity</w:t>
            </w:r>
          </w:p>
        </w:tc>
        <w:tc>
          <w:tcPr>
            <w:tcW w:w="3402" w:type="dxa"/>
          </w:tcPr>
          <w:p w:rsidR="00F9378D" w:rsidRPr="005E65C5" w:rsidRDefault="00F9378D">
            <w:pPr>
              <w:rPr>
                <w:b/>
                <w:sz w:val="28"/>
              </w:rPr>
            </w:pPr>
            <w:r w:rsidRPr="005E65C5">
              <w:rPr>
                <w:b/>
                <w:sz w:val="28"/>
              </w:rPr>
              <w:t>Aim</w:t>
            </w:r>
          </w:p>
        </w:tc>
        <w:tc>
          <w:tcPr>
            <w:tcW w:w="4253" w:type="dxa"/>
          </w:tcPr>
          <w:p w:rsidR="00F9378D" w:rsidRPr="005E65C5" w:rsidRDefault="00F9378D">
            <w:pPr>
              <w:rPr>
                <w:b/>
                <w:sz w:val="28"/>
              </w:rPr>
            </w:pPr>
            <w:r w:rsidRPr="005E65C5">
              <w:rPr>
                <w:b/>
                <w:sz w:val="28"/>
              </w:rPr>
              <w:t>Comments</w:t>
            </w:r>
          </w:p>
        </w:tc>
      </w:tr>
      <w:tr w:rsidR="00F9378D" w:rsidTr="00F9378D">
        <w:tc>
          <w:tcPr>
            <w:tcW w:w="2376" w:type="dxa"/>
          </w:tcPr>
          <w:p w:rsidR="00F9378D" w:rsidRDefault="00F9378D">
            <w:r>
              <w:t>Defining risk</w:t>
            </w:r>
          </w:p>
        </w:tc>
        <w:tc>
          <w:tcPr>
            <w:tcW w:w="3402" w:type="dxa"/>
          </w:tcPr>
          <w:p w:rsidR="00F9378D" w:rsidRDefault="00F9378D">
            <w:r>
              <w:t>Class discussion about the definition and numbers associated with risk</w:t>
            </w:r>
          </w:p>
        </w:tc>
        <w:tc>
          <w:tcPr>
            <w:tcW w:w="4253" w:type="dxa"/>
          </w:tcPr>
          <w:p w:rsidR="00F9378D" w:rsidRDefault="00F9378D"/>
        </w:tc>
      </w:tr>
      <w:tr w:rsidR="00F9378D" w:rsidTr="00F9378D">
        <w:tc>
          <w:tcPr>
            <w:tcW w:w="2376" w:type="dxa"/>
          </w:tcPr>
          <w:p w:rsidR="00F9378D" w:rsidRDefault="00F9378D">
            <w:r>
              <w:t>What’s risk got to do with it?</w:t>
            </w:r>
          </w:p>
        </w:tc>
        <w:tc>
          <w:tcPr>
            <w:tcW w:w="3402" w:type="dxa"/>
          </w:tcPr>
          <w:p w:rsidR="00F9378D" w:rsidRDefault="00F9378D">
            <w:r>
              <w:t>Insurance and risk</w:t>
            </w:r>
          </w:p>
        </w:tc>
        <w:tc>
          <w:tcPr>
            <w:tcW w:w="4253" w:type="dxa"/>
          </w:tcPr>
          <w:p w:rsidR="00F9378D" w:rsidRPr="00774846" w:rsidRDefault="00F9378D">
            <w:pPr>
              <w:rPr>
                <w:color w:val="0000FF" w:themeColor="hyperlink"/>
                <w:u w:val="single"/>
              </w:rPr>
            </w:pPr>
            <w:hyperlink r:id="rId8" w:history="1">
              <w:r w:rsidRPr="0026322C">
                <w:rPr>
                  <w:rStyle w:val="Hyperlink"/>
                </w:rPr>
                <w:t>http://www.scholastic.com/ nextgeneration/lessons&amp;worksheets/ risk.htm</w:t>
              </w:r>
            </w:hyperlink>
          </w:p>
        </w:tc>
      </w:tr>
      <w:tr w:rsidR="00F9378D" w:rsidTr="00F9378D">
        <w:tc>
          <w:tcPr>
            <w:tcW w:w="2376" w:type="dxa"/>
          </w:tcPr>
          <w:p w:rsidR="00F9378D" w:rsidRDefault="00F9378D">
            <w:r>
              <w:t>Evaluating Risk:  Are bacon sandwiches bad for you?</w:t>
            </w:r>
          </w:p>
        </w:tc>
        <w:tc>
          <w:tcPr>
            <w:tcW w:w="3402" w:type="dxa"/>
          </w:tcPr>
          <w:p w:rsidR="00F9378D" w:rsidRDefault="00F9378D">
            <w:r>
              <w:t>Using pictorial representations to understand risk.</w:t>
            </w:r>
          </w:p>
        </w:tc>
        <w:tc>
          <w:tcPr>
            <w:tcW w:w="4253" w:type="dxa"/>
          </w:tcPr>
          <w:p w:rsidR="00F9378D" w:rsidRDefault="00F9378D">
            <w:hyperlink r:id="rId9" w:history="1">
              <w:r w:rsidRPr="00B3151F">
                <w:rPr>
                  <w:rStyle w:val="Hyperlink"/>
                </w:rPr>
                <w:t xml:space="preserve">http://motivate.maths.org/content/ </w:t>
              </w:r>
              <w:proofErr w:type="spellStart"/>
              <w:r w:rsidRPr="00B3151F">
                <w:rPr>
                  <w:rStyle w:val="Hyperlink"/>
                </w:rPr>
                <w:t>MathsHealth</w:t>
              </w:r>
              <w:proofErr w:type="spellEnd"/>
              <w:r w:rsidRPr="00B3151F">
                <w:rPr>
                  <w:rStyle w:val="Hyperlink"/>
                </w:rPr>
                <w:t>/Risk</w:t>
              </w:r>
            </w:hyperlink>
          </w:p>
        </w:tc>
      </w:tr>
      <w:tr w:rsidR="00F9378D" w:rsidTr="00F9378D">
        <w:tc>
          <w:tcPr>
            <w:tcW w:w="2376" w:type="dxa"/>
          </w:tcPr>
          <w:p w:rsidR="00F9378D" w:rsidRDefault="00F9378D">
            <w:r>
              <w:t>Statistics: More than numbers</w:t>
            </w:r>
          </w:p>
        </w:tc>
        <w:tc>
          <w:tcPr>
            <w:tcW w:w="3402" w:type="dxa"/>
          </w:tcPr>
          <w:p w:rsidR="00F9378D" w:rsidRDefault="00F9378D"/>
        </w:tc>
        <w:tc>
          <w:tcPr>
            <w:tcW w:w="4253" w:type="dxa"/>
          </w:tcPr>
          <w:p w:rsidR="00F9378D" w:rsidRDefault="00F9378D"/>
        </w:tc>
      </w:tr>
      <w:tr w:rsidR="00F9378D" w:rsidTr="00F9378D">
        <w:tc>
          <w:tcPr>
            <w:tcW w:w="2376" w:type="dxa"/>
          </w:tcPr>
          <w:p w:rsidR="00F9378D" w:rsidRDefault="00F9378D">
            <w:r>
              <w:t>Media reports about risk</w:t>
            </w:r>
          </w:p>
        </w:tc>
        <w:tc>
          <w:tcPr>
            <w:tcW w:w="3402" w:type="dxa"/>
          </w:tcPr>
          <w:p w:rsidR="00F9378D" w:rsidRDefault="00F9378D">
            <w:r>
              <w:t>Holiday road toll – low frequency probability.</w:t>
            </w:r>
          </w:p>
          <w:p w:rsidR="00F9378D" w:rsidRDefault="00F9378D">
            <w:r>
              <w:t>Benefits of Chocolate- reduced risk.</w:t>
            </w:r>
          </w:p>
        </w:tc>
        <w:tc>
          <w:tcPr>
            <w:tcW w:w="4253" w:type="dxa"/>
          </w:tcPr>
          <w:p w:rsidR="00F9378D" w:rsidRDefault="00F9378D"/>
        </w:tc>
      </w:tr>
      <w:tr w:rsidR="00F9378D" w:rsidTr="00F9378D">
        <w:tc>
          <w:tcPr>
            <w:tcW w:w="2376" w:type="dxa"/>
          </w:tcPr>
          <w:p w:rsidR="00F9378D" w:rsidRDefault="00F9378D">
            <w:r>
              <w:t>Health:  Survival probability game</w:t>
            </w:r>
          </w:p>
        </w:tc>
        <w:tc>
          <w:tcPr>
            <w:tcW w:w="3402" w:type="dxa"/>
          </w:tcPr>
          <w:p w:rsidR="00F9378D" w:rsidRDefault="00F9378D">
            <w:r>
              <w:t>Decisions involving risk to others.</w:t>
            </w:r>
          </w:p>
        </w:tc>
        <w:tc>
          <w:tcPr>
            <w:tcW w:w="4253" w:type="dxa"/>
          </w:tcPr>
          <w:p w:rsidR="00F9378D" w:rsidRDefault="00F9378D">
            <w:hyperlink r:id="rId10" w:history="1">
              <w:r w:rsidRPr="00B3151F">
                <w:rPr>
                  <w:rStyle w:val="Hyperlink"/>
                </w:rPr>
                <w:t xml:space="preserve">http://motivate.maths.org/content/ </w:t>
              </w:r>
              <w:proofErr w:type="spellStart"/>
              <w:r w:rsidRPr="00B3151F">
                <w:rPr>
                  <w:rStyle w:val="Hyperlink"/>
                </w:rPr>
                <w:t>MathsHealth</w:t>
              </w:r>
              <w:proofErr w:type="spellEnd"/>
              <w:r w:rsidRPr="00B3151F">
                <w:rPr>
                  <w:rStyle w:val="Hyperlink"/>
                </w:rPr>
                <w:t>/</w:t>
              </w:r>
              <w:proofErr w:type="spellStart"/>
              <w:r w:rsidRPr="00B3151F">
                <w:rPr>
                  <w:rStyle w:val="Hyperlink"/>
                </w:rPr>
                <w:t>HealthEconomics</w:t>
              </w:r>
              <w:proofErr w:type="spellEnd"/>
            </w:hyperlink>
          </w:p>
        </w:tc>
      </w:tr>
      <w:tr w:rsidR="00F9378D" w:rsidTr="00F9378D">
        <w:tc>
          <w:tcPr>
            <w:tcW w:w="2376" w:type="dxa"/>
          </w:tcPr>
          <w:p w:rsidR="00F9378D" w:rsidRDefault="00F9378D">
            <w:r>
              <w:t>The test is positive: What are the odds its wrong</w:t>
            </w:r>
          </w:p>
        </w:tc>
        <w:tc>
          <w:tcPr>
            <w:tcW w:w="3402" w:type="dxa"/>
          </w:tcPr>
          <w:p w:rsidR="00F9378D" w:rsidRDefault="00F9378D">
            <w:r>
              <w:t>Tree diagrams with natural frequencies and proportions.</w:t>
            </w:r>
          </w:p>
        </w:tc>
        <w:tc>
          <w:tcPr>
            <w:tcW w:w="4253" w:type="dxa"/>
          </w:tcPr>
          <w:p w:rsidR="00F9378D" w:rsidRDefault="00F9378D">
            <w:hyperlink r:id="rId11" w:history="1">
              <w:r w:rsidRPr="00B3151F">
                <w:rPr>
                  <w:rStyle w:val="Hyperlink"/>
                </w:rPr>
                <w:t xml:space="preserve">https://motivate.maths.org/content/ </w:t>
              </w:r>
              <w:proofErr w:type="spellStart"/>
              <w:r w:rsidRPr="00B3151F">
                <w:rPr>
                  <w:rStyle w:val="Hyperlink"/>
                </w:rPr>
                <w:t>MathsHealth</w:t>
              </w:r>
              <w:proofErr w:type="spellEnd"/>
              <w:r w:rsidRPr="00B3151F">
                <w:rPr>
                  <w:rStyle w:val="Hyperlink"/>
                </w:rPr>
                <w:t>/</w:t>
              </w:r>
              <w:proofErr w:type="spellStart"/>
              <w:r w:rsidRPr="00B3151F">
                <w:rPr>
                  <w:rStyle w:val="Hyperlink"/>
                </w:rPr>
                <w:t>PositiveTest</w:t>
              </w:r>
              <w:proofErr w:type="spellEnd"/>
            </w:hyperlink>
          </w:p>
        </w:tc>
      </w:tr>
      <w:tr w:rsidR="00F9378D" w:rsidTr="00F9378D">
        <w:tc>
          <w:tcPr>
            <w:tcW w:w="2376" w:type="dxa"/>
          </w:tcPr>
          <w:p w:rsidR="00F9378D" w:rsidRDefault="00F9378D">
            <w:r>
              <w:t>Critical questions on risk</w:t>
            </w:r>
          </w:p>
        </w:tc>
        <w:tc>
          <w:tcPr>
            <w:tcW w:w="3402" w:type="dxa"/>
          </w:tcPr>
          <w:p w:rsidR="00F9378D" w:rsidRDefault="00F9378D"/>
        </w:tc>
        <w:tc>
          <w:tcPr>
            <w:tcW w:w="4253" w:type="dxa"/>
          </w:tcPr>
          <w:p w:rsidR="00F9378D" w:rsidRDefault="00F9378D"/>
        </w:tc>
      </w:tr>
    </w:tbl>
    <w:p w:rsidR="005E65C5" w:rsidRDefault="005E65C5"/>
    <w:p w:rsidR="00774846" w:rsidRDefault="00774846" w:rsidP="00774846">
      <w:pPr>
        <w:shd w:val="clear" w:color="auto" w:fill="FFFFFF"/>
        <w:spacing w:before="100" w:beforeAutospacing="1" w:after="100" w:afterAutospacing="1" w:line="240" w:lineRule="auto"/>
        <w:ind w:left="360"/>
        <w:jc w:val="center"/>
        <w:textAlignment w:val="baseline"/>
        <w:rPr>
          <w:rFonts w:asciiTheme="majorHAnsi" w:eastAsia="Times New Roman" w:hAnsiTheme="majorHAnsi" w:cs="Times New Roman"/>
          <w:b/>
          <w:color w:val="000000" w:themeColor="text1"/>
          <w:sz w:val="40"/>
          <w:szCs w:val="21"/>
          <w:lang w:val="en-US" w:eastAsia="en-NZ"/>
        </w:rPr>
      </w:pPr>
      <w:r>
        <w:rPr>
          <w:rFonts w:asciiTheme="majorHAnsi" w:eastAsia="Times New Roman" w:hAnsiTheme="majorHAnsi" w:cs="Times New Roman"/>
          <w:b/>
          <w:color w:val="000000" w:themeColor="text1"/>
          <w:sz w:val="40"/>
          <w:szCs w:val="21"/>
          <w:lang w:val="en-US" w:eastAsia="en-NZ"/>
        </w:rPr>
        <w:t>Really useful Websites</w:t>
      </w:r>
    </w:p>
    <w:tbl>
      <w:tblPr>
        <w:tblStyle w:val="TableGrid"/>
        <w:tblW w:w="0" w:type="auto"/>
        <w:jc w:val="center"/>
        <w:tblInd w:w="-318" w:type="dxa"/>
        <w:tblLook w:val="04A0" w:firstRow="1" w:lastRow="0" w:firstColumn="1" w:lastColumn="0" w:noHBand="0" w:noVBand="1"/>
      </w:tblPr>
      <w:tblGrid>
        <w:gridCol w:w="3687"/>
        <w:gridCol w:w="6593"/>
      </w:tblGrid>
      <w:tr w:rsidR="00774846" w:rsidTr="008D0C59">
        <w:trPr>
          <w:jc w:val="center"/>
        </w:trPr>
        <w:tc>
          <w:tcPr>
            <w:tcW w:w="3687" w:type="dxa"/>
          </w:tcPr>
          <w:p w:rsidR="00774846" w:rsidRPr="00774846" w:rsidRDefault="00774846" w:rsidP="00774846">
            <w:pPr>
              <w:spacing w:before="100" w:beforeAutospacing="1" w:after="100" w:afterAutospacing="1"/>
              <w:jc w:val="center"/>
              <w:textAlignment w:val="baseline"/>
              <w:rPr>
                <w:rFonts w:asciiTheme="majorHAnsi" w:eastAsia="Times New Roman" w:hAnsiTheme="majorHAnsi" w:cs="Times New Roman"/>
                <w:b/>
                <w:color w:val="000000" w:themeColor="text1"/>
                <w:sz w:val="24"/>
                <w:szCs w:val="24"/>
                <w:lang w:val="en-US" w:eastAsia="en-NZ"/>
              </w:rPr>
            </w:pPr>
          </w:p>
        </w:tc>
        <w:tc>
          <w:tcPr>
            <w:tcW w:w="6593" w:type="dxa"/>
          </w:tcPr>
          <w:p w:rsidR="00774846" w:rsidRPr="00774846" w:rsidRDefault="00774846" w:rsidP="00774846">
            <w:pPr>
              <w:spacing w:before="100" w:beforeAutospacing="1" w:after="100" w:afterAutospacing="1"/>
              <w:jc w:val="center"/>
              <w:textAlignment w:val="baseline"/>
              <w:rPr>
                <w:rFonts w:asciiTheme="majorHAnsi" w:eastAsia="Times New Roman" w:hAnsiTheme="majorHAnsi" w:cs="Times New Roman"/>
                <w:b/>
                <w:color w:val="000000" w:themeColor="text1"/>
                <w:sz w:val="24"/>
                <w:szCs w:val="24"/>
                <w:lang w:val="en-US" w:eastAsia="en-NZ"/>
              </w:rPr>
            </w:pPr>
            <w:r>
              <w:rPr>
                <w:rFonts w:asciiTheme="majorHAnsi" w:eastAsia="Times New Roman" w:hAnsiTheme="majorHAnsi" w:cs="Times New Roman"/>
                <w:b/>
                <w:color w:val="000000" w:themeColor="text1"/>
                <w:sz w:val="24"/>
                <w:szCs w:val="24"/>
                <w:lang w:val="en-US" w:eastAsia="en-NZ"/>
              </w:rPr>
              <w:t>Link</w:t>
            </w:r>
          </w:p>
        </w:tc>
      </w:tr>
      <w:tr w:rsidR="00774846" w:rsidTr="008D0C59">
        <w:trPr>
          <w:jc w:val="center"/>
        </w:trPr>
        <w:tc>
          <w:tcPr>
            <w:tcW w:w="3687" w:type="dxa"/>
          </w:tcPr>
          <w:p w:rsidR="00774846" w:rsidRPr="00196625" w:rsidRDefault="00196625" w:rsidP="00774846">
            <w:pPr>
              <w:spacing w:before="100" w:beforeAutospacing="1" w:after="100" w:afterAutospacing="1"/>
              <w:textAlignment w:val="baseline"/>
              <w:rPr>
                <w:rFonts w:eastAsia="Times New Roman" w:cs="Times New Roman"/>
                <w:color w:val="000000" w:themeColor="text1"/>
                <w:sz w:val="24"/>
                <w:szCs w:val="24"/>
                <w:lang w:val="en-US" w:eastAsia="en-NZ"/>
              </w:rPr>
            </w:pPr>
            <w:r w:rsidRPr="00196625">
              <w:rPr>
                <w:rFonts w:eastAsia="Times New Roman" w:cs="Times New Roman"/>
                <w:color w:val="000000" w:themeColor="text1"/>
                <w:sz w:val="24"/>
                <w:szCs w:val="24"/>
                <w:lang w:val="en-US" w:eastAsia="en-NZ"/>
              </w:rPr>
              <w:t xml:space="preserve">Communicating risk to the public </w:t>
            </w:r>
          </w:p>
        </w:tc>
        <w:tc>
          <w:tcPr>
            <w:tcW w:w="6593" w:type="dxa"/>
          </w:tcPr>
          <w:p w:rsidR="00774846" w:rsidRPr="00774846" w:rsidRDefault="000B482D" w:rsidP="00774846">
            <w:hyperlink r:id="rId12" w:history="1">
              <w:r w:rsidR="00774846" w:rsidRPr="00137659">
                <w:rPr>
                  <w:rStyle w:val="Hyperlink"/>
                </w:rPr>
                <w:t>http://www.decisionsciencenews.com/2010/12/03/some-ideas-on-communicating-risks-to-the-general-public/</w:t>
              </w:r>
            </w:hyperlink>
          </w:p>
        </w:tc>
      </w:tr>
      <w:tr w:rsidR="003C4B85" w:rsidTr="008D0C59">
        <w:trPr>
          <w:jc w:val="center"/>
        </w:trPr>
        <w:tc>
          <w:tcPr>
            <w:tcW w:w="3687" w:type="dxa"/>
          </w:tcPr>
          <w:p w:rsidR="003C4B85" w:rsidRPr="00196625" w:rsidRDefault="003C4B85" w:rsidP="00774846">
            <w:pPr>
              <w:spacing w:before="100" w:beforeAutospacing="1" w:after="100" w:afterAutospacing="1"/>
              <w:textAlignment w:val="baseline"/>
              <w:rPr>
                <w:rFonts w:eastAsia="Times New Roman" w:cs="Times New Roman"/>
                <w:color w:val="000000" w:themeColor="text1"/>
                <w:sz w:val="24"/>
                <w:szCs w:val="24"/>
                <w:lang w:val="en-US" w:eastAsia="en-NZ"/>
              </w:rPr>
            </w:pPr>
            <w:r>
              <w:rPr>
                <w:rFonts w:eastAsia="Times New Roman" w:cs="Times New Roman"/>
                <w:color w:val="000000" w:themeColor="text1"/>
                <w:sz w:val="24"/>
                <w:szCs w:val="24"/>
                <w:lang w:val="en-US" w:eastAsia="en-NZ"/>
              </w:rPr>
              <w:t xml:space="preserve">Communicating risk </w:t>
            </w:r>
            <w:r w:rsidR="00E33C81">
              <w:rPr>
                <w:rFonts w:eastAsia="Times New Roman" w:cs="Times New Roman"/>
                <w:color w:val="000000" w:themeColor="text1"/>
                <w:sz w:val="24"/>
                <w:szCs w:val="24"/>
                <w:lang w:val="en-US" w:eastAsia="en-NZ"/>
              </w:rPr>
              <w:t>article</w:t>
            </w:r>
          </w:p>
        </w:tc>
        <w:tc>
          <w:tcPr>
            <w:tcW w:w="6593" w:type="dxa"/>
          </w:tcPr>
          <w:p w:rsidR="003C4B85" w:rsidRDefault="0095220E" w:rsidP="003C4B85">
            <w:hyperlink r:id="rId13" w:history="1">
              <w:r w:rsidR="003C4B85" w:rsidRPr="00AD1CA5">
                <w:rPr>
                  <w:rStyle w:val="Hyperlink"/>
                </w:rPr>
                <w:t>https://plus.maths.org/content/understanding-uncertainty-2845-ways-spinning-risk-0</w:t>
              </w:r>
            </w:hyperlink>
          </w:p>
        </w:tc>
      </w:tr>
      <w:tr w:rsidR="00774846" w:rsidTr="008D0C59">
        <w:trPr>
          <w:jc w:val="center"/>
        </w:trPr>
        <w:tc>
          <w:tcPr>
            <w:tcW w:w="3687" w:type="dxa"/>
          </w:tcPr>
          <w:p w:rsidR="00774846" w:rsidRPr="00196625" w:rsidRDefault="00196625" w:rsidP="00774846">
            <w:pPr>
              <w:spacing w:before="100" w:beforeAutospacing="1" w:after="100" w:afterAutospacing="1"/>
              <w:textAlignment w:val="baseline"/>
              <w:rPr>
                <w:rFonts w:eastAsia="Times New Roman" w:cs="Times New Roman"/>
                <w:color w:val="000000" w:themeColor="text1"/>
                <w:sz w:val="24"/>
                <w:szCs w:val="24"/>
                <w:lang w:val="en-US" w:eastAsia="en-NZ"/>
              </w:rPr>
            </w:pPr>
            <w:r>
              <w:rPr>
                <w:rFonts w:eastAsia="Times New Roman" w:cs="Times New Roman"/>
                <w:color w:val="000000" w:themeColor="text1"/>
                <w:sz w:val="24"/>
                <w:szCs w:val="24"/>
                <w:lang w:val="en-US" w:eastAsia="en-NZ"/>
              </w:rPr>
              <w:t>Risk literacy project</w:t>
            </w:r>
          </w:p>
        </w:tc>
        <w:tc>
          <w:tcPr>
            <w:tcW w:w="6593" w:type="dxa"/>
          </w:tcPr>
          <w:p w:rsidR="00774846" w:rsidRPr="00774846" w:rsidRDefault="000B482D" w:rsidP="00774846">
            <w:hyperlink r:id="rId14" w:history="1">
              <w:r w:rsidR="00774846" w:rsidRPr="00137659">
                <w:rPr>
                  <w:rStyle w:val="Hyperlink"/>
                </w:rPr>
                <w:t>http://www.riskliteracy.org/</w:t>
              </w:r>
            </w:hyperlink>
          </w:p>
        </w:tc>
      </w:tr>
      <w:tr w:rsidR="00774846" w:rsidTr="008D0C59">
        <w:trPr>
          <w:jc w:val="center"/>
        </w:trPr>
        <w:tc>
          <w:tcPr>
            <w:tcW w:w="3687" w:type="dxa"/>
          </w:tcPr>
          <w:p w:rsidR="00774846" w:rsidRPr="00196625" w:rsidRDefault="00196625" w:rsidP="00774846">
            <w:pPr>
              <w:spacing w:before="100" w:beforeAutospacing="1" w:after="100" w:afterAutospacing="1"/>
              <w:textAlignment w:val="baseline"/>
              <w:rPr>
                <w:rFonts w:eastAsia="Times New Roman" w:cs="Times New Roman"/>
                <w:color w:val="000000" w:themeColor="text1"/>
                <w:sz w:val="24"/>
                <w:szCs w:val="24"/>
                <w:lang w:val="en-US" w:eastAsia="en-NZ"/>
              </w:rPr>
            </w:pPr>
            <w:proofErr w:type="spellStart"/>
            <w:r w:rsidRPr="00196625">
              <w:rPr>
                <w:rFonts w:eastAsia="Times New Roman" w:cs="Times New Roman"/>
                <w:color w:val="000000" w:themeColor="text1"/>
                <w:sz w:val="24"/>
                <w:szCs w:val="24"/>
                <w:lang w:val="en-US" w:eastAsia="en-NZ"/>
              </w:rPr>
              <w:t>Gerd</w:t>
            </w:r>
            <w:proofErr w:type="spellEnd"/>
            <w:r w:rsidRPr="00196625">
              <w:rPr>
                <w:rFonts w:eastAsia="Times New Roman" w:cs="Times New Roman"/>
                <w:color w:val="000000" w:themeColor="text1"/>
                <w:sz w:val="24"/>
                <w:szCs w:val="24"/>
                <w:lang w:val="en-US" w:eastAsia="en-NZ"/>
              </w:rPr>
              <w:t xml:space="preserve"> </w:t>
            </w:r>
            <w:proofErr w:type="spellStart"/>
            <w:r w:rsidRPr="00196625">
              <w:rPr>
                <w:rFonts w:eastAsia="Times New Roman" w:cs="Times New Roman"/>
                <w:color w:val="000000" w:themeColor="text1"/>
                <w:sz w:val="24"/>
                <w:szCs w:val="24"/>
                <w:lang w:val="en-US" w:eastAsia="en-NZ"/>
              </w:rPr>
              <w:t>Gigerenzer</w:t>
            </w:r>
            <w:proofErr w:type="spellEnd"/>
            <w:r>
              <w:rPr>
                <w:rFonts w:eastAsia="Times New Roman" w:cs="Times New Roman"/>
                <w:color w:val="000000" w:themeColor="text1"/>
                <w:sz w:val="24"/>
                <w:szCs w:val="24"/>
                <w:lang w:val="en-US" w:eastAsia="en-NZ"/>
              </w:rPr>
              <w:t xml:space="preserve"> – videos and articles on risk</w:t>
            </w:r>
          </w:p>
        </w:tc>
        <w:tc>
          <w:tcPr>
            <w:tcW w:w="6593" w:type="dxa"/>
          </w:tcPr>
          <w:p w:rsidR="00774846" w:rsidRPr="00774846" w:rsidRDefault="000B482D" w:rsidP="00774846">
            <w:hyperlink r:id="rId15" w:history="1">
              <w:r w:rsidR="00774846" w:rsidRPr="00137659">
                <w:rPr>
                  <w:rStyle w:val="Hyperlink"/>
                </w:rPr>
                <w:t>https://www.harding-center.mpg.de/en</w:t>
              </w:r>
            </w:hyperlink>
          </w:p>
        </w:tc>
      </w:tr>
      <w:tr w:rsidR="00774846" w:rsidTr="008D0C59">
        <w:trPr>
          <w:jc w:val="center"/>
        </w:trPr>
        <w:tc>
          <w:tcPr>
            <w:tcW w:w="3687" w:type="dxa"/>
          </w:tcPr>
          <w:p w:rsidR="00774846" w:rsidRPr="00196625" w:rsidRDefault="00196625" w:rsidP="00774846">
            <w:pPr>
              <w:spacing w:before="100" w:beforeAutospacing="1" w:after="100" w:afterAutospacing="1"/>
              <w:textAlignment w:val="baseline"/>
              <w:rPr>
                <w:rFonts w:eastAsia="Times New Roman" w:cs="Times New Roman"/>
                <w:color w:val="000000" w:themeColor="text1"/>
                <w:sz w:val="24"/>
                <w:szCs w:val="24"/>
                <w:lang w:val="en-US" w:eastAsia="en-NZ"/>
              </w:rPr>
            </w:pPr>
            <w:r>
              <w:rPr>
                <w:rFonts w:eastAsia="Times New Roman" w:cs="Times New Roman"/>
                <w:color w:val="000000" w:themeColor="text1"/>
                <w:sz w:val="24"/>
                <w:szCs w:val="24"/>
                <w:lang w:val="en-US" w:eastAsia="en-NZ"/>
              </w:rPr>
              <w:t>Risk literacy video</w:t>
            </w:r>
          </w:p>
        </w:tc>
        <w:tc>
          <w:tcPr>
            <w:tcW w:w="6593" w:type="dxa"/>
          </w:tcPr>
          <w:p w:rsidR="00774846" w:rsidRPr="00774846" w:rsidRDefault="000B482D" w:rsidP="00774846">
            <w:pPr>
              <w:spacing w:before="100" w:beforeAutospacing="1" w:after="100" w:afterAutospacing="1"/>
              <w:textAlignment w:val="baseline"/>
              <w:rPr>
                <w:rFonts w:asciiTheme="majorHAnsi" w:eastAsia="Times New Roman" w:hAnsiTheme="majorHAnsi" w:cs="Times New Roman"/>
                <w:color w:val="000000" w:themeColor="text1"/>
                <w:sz w:val="24"/>
                <w:szCs w:val="24"/>
                <w:lang w:val="en-US" w:eastAsia="en-NZ"/>
              </w:rPr>
            </w:pPr>
            <w:hyperlink r:id="rId16" w:history="1">
              <w:r w:rsidR="00774846" w:rsidRPr="00137659">
                <w:rPr>
                  <w:rStyle w:val="Hyperlink"/>
                </w:rPr>
                <w:t>https://www.youtube.com/watch?v=g4op2WNc1e4</w:t>
              </w:r>
            </w:hyperlink>
          </w:p>
        </w:tc>
      </w:tr>
      <w:tr w:rsidR="00774846" w:rsidTr="008D0C59">
        <w:trPr>
          <w:jc w:val="center"/>
        </w:trPr>
        <w:tc>
          <w:tcPr>
            <w:tcW w:w="3687" w:type="dxa"/>
          </w:tcPr>
          <w:p w:rsidR="00774846" w:rsidRPr="00196625" w:rsidRDefault="00196625" w:rsidP="00774846">
            <w:pPr>
              <w:spacing w:before="100" w:beforeAutospacing="1" w:after="100" w:afterAutospacing="1"/>
              <w:textAlignment w:val="baseline"/>
              <w:rPr>
                <w:rFonts w:eastAsia="Times New Roman" w:cs="Times New Roman"/>
                <w:color w:val="000000" w:themeColor="text1"/>
                <w:sz w:val="24"/>
                <w:szCs w:val="24"/>
                <w:lang w:val="en-US" w:eastAsia="en-NZ"/>
              </w:rPr>
            </w:pPr>
            <w:r>
              <w:rPr>
                <w:rFonts w:eastAsia="Times New Roman" w:cs="Times New Roman"/>
                <w:color w:val="000000" w:themeColor="text1"/>
                <w:sz w:val="24"/>
                <w:szCs w:val="24"/>
                <w:lang w:val="en-US" w:eastAsia="en-NZ"/>
              </w:rPr>
              <w:t xml:space="preserve">Blogs and articles on </w:t>
            </w:r>
            <w:r w:rsidR="002D329A">
              <w:rPr>
                <w:rFonts w:eastAsia="Times New Roman" w:cs="Times New Roman"/>
                <w:color w:val="000000" w:themeColor="text1"/>
                <w:sz w:val="24"/>
                <w:szCs w:val="24"/>
                <w:lang w:val="en-US" w:eastAsia="en-NZ"/>
              </w:rPr>
              <w:t>risks</w:t>
            </w:r>
            <w:r>
              <w:rPr>
                <w:rFonts w:eastAsia="Times New Roman" w:cs="Times New Roman"/>
                <w:color w:val="000000" w:themeColor="text1"/>
                <w:sz w:val="24"/>
                <w:szCs w:val="24"/>
                <w:lang w:val="en-US" w:eastAsia="en-NZ"/>
              </w:rPr>
              <w:t>.</w:t>
            </w:r>
          </w:p>
        </w:tc>
        <w:tc>
          <w:tcPr>
            <w:tcW w:w="6593" w:type="dxa"/>
          </w:tcPr>
          <w:p w:rsidR="00774846" w:rsidRPr="00774846" w:rsidRDefault="000B482D" w:rsidP="00774846">
            <w:hyperlink r:id="rId17" w:history="1">
              <w:r w:rsidR="00774846" w:rsidRPr="00C245EA">
                <w:rPr>
                  <w:rStyle w:val="Hyperlink"/>
                </w:rPr>
                <w:t>http://www.senseaboutscience.org/cgi-bin/search.cgi?q=risk</w:t>
              </w:r>
            </w:hyperlink>
          </w:p>
        </w:tc>
      </w:tr>
      <w:tr w:rsidR="00774846" w:rsidTr="008D0C59">
        <w:trPr>
          <w:jc w:val="center"/>
        </w:trPr>
        <w:tc>
          <w:tcPr>
            <w:tcW w:w="3687" w:type="dxa"/>
          </w:tcPr>
          <w:p w:rsidR="00774846" w:rsidRPr="00196625" w:rsidRDefault="00774846" w:rsidP="00774846">
            <w:pPr>
              <w:spacing w:before="100" w:beforeAutospacing="1" w:after="100" w:afterAutospacing="1"/>
              <w:textAlignment w:val="baseline"/>
              <w:rPr>
                <w:rFonts w:eastAsia="Times New Roman" w:cs="Times New Roman"/>
                <w:color w:val="000000" w:themeColor="text1"/>
                <w:sz w:val="24"/>
                <w:szCs w:val="24"/>
                <w:lang w:val="en-US" w:eastAsia="en-NZ"/>
              </w:rPr>
            </w:pPr>
          </w:p>
        </w:tc>
        <w:tc>
          <w:tcPr>
            <w:tcW w:w="6593" w:type="dxa"/>
          </w:tcPr>
          <w:p w:rsidR="00774846" w:rsidRPr="00774846" w:rsidRDefault="00774846" w:rsidP="00774846">
            <w:r w:rsidRPr="00196625">
              <w:t>http://understanding</w:t>
            </w:r>
            <w:r w:rsidR="00196625">
              <w:t>uncertainty.org</w:t>
            </w:r>
          </w:p>
        </w:tc>
      </w:tr>
      <w:tr w:rsidR="00774846" w:rsidTr="008D0C59">
        <w:trPr>
          <w:jc w:val="center"/>
        </w:trPr>
        <w:tc>
          <w:tcPr>
            <w:tcW w:w="3687" w:type="dxa"/>
          </w:tcPr>
          <w:p w:rsidR="00774846" w:rsidRPr="00196625" w:rsidRDefault="00196625" w:rsidP="00774846">
            <w:pPr>
              <w:spacing w:before="100" w:beforeAutospacing="1" w:after="100" w:afterAutospacing="1"/>
              <w:textAlignment w:val="baseline"/>
              <w:rPr>
                <w:rFonts w:eastAsia="Times New Roman" w:cs="Times New Roman"/>
                <w:color w:val="000000" w:themeColor="text1"/>
                <w:sz w:val="24"/>
                <w:szCs w:val="24"/>
                <w:lang w:val="en-US" w:eastAsia="en-NZ"/>
              </w:rPr>
            </w:pPr>
            <w:r>
              <w:rPr>
                <w:rFonts w:eastAsia="Times New Roman" w:cs="Times New Roman"/>
                <w:color w:val="000000" w:themeColor="text1"/>
                <w:sz w:val="24"/>
                <w:szCs w:val="24"/>
                <w:lang w:val="en-US" w:eastAsia="en-NZ"/>
              </w:rPr>
              <w:t>Lecture series on risk</w:t>
            </w:r>
          </w:p>
        </w:tc>
        <w:tc>
          <w:tcPr>
            <w:tcW w:w="6593" w:type="dxa"/>
          </w:tcPr>
          <w:p w:rsidR="00774846" w:rsidRPr="00774846" w:rsidRDefault="000B482D" w:rsidP="00774846">
            <w:hyperlink r:id="rId18" w:history="1">
              <w:r w:rsidR="00774846" w:rsidRPr="00C245EA">
                <w:rPr>
                  <w:rStyle w:val="Hyperlink"/>
                </w:rPr>
                <w:t>http://sms.cam.ac.uk/collection/728627</w:t>
              </w:r>
            </w:hyperlink>
          </w:p>
        </w:tc>
      </w:tr>
      <w:tr w:rsidR="00196625" w:rsidTr="008D0C59">
        <w:trPr>
          <w:jc w:val="center"/>
        </w:trPr>
        <w:tc>
          <w:tcPr>
            <w:tcW w:w="3687" w:type="dxa"/>
          </w:tcPr>
          <w:p w:rsidR="00196625" w:rsidRPr="00196625" w:rsidRDefault="00196625" w:rsidP="00774846">
            <w:pPr>
              <w:spacing w:before="100" w:beforeAutospacing="1" w:after="100" w:afterAutospacing="1"/>
              <w:textAlignment w:val="baseline"/>
              <w:rPr>
                <w:rFonts w:eastAsia="Times New Roman" w:cs="Times New Roman"/>
                <w:color w:val="000000" w:themeColor="text1"/>
                <w:sz w:val="24"/>
                <w:szCs w:val="24"/>
                <w:lang w:val="en-US" w:eastAsia="en-NZ"/>
              </w:rPr>
            </w:pPr>
            <w:r w:rsidRPr="00196625">
              <w:rPr>
                <w:rFonts w:eastAsia="Times New Roman" w:cs="Times New Roman"/>
                <w:color w:val="000000" w:themeColor="text1"/>
                <w:sz w:val="24"/>
                <w:szCs w:val="24"/>
                <w:lang w:val="en-US" w:eastAsia="en-NZ"/>
              </w:rPr>
              <w:t xml:space="preserve">O’Carroll </w:t>
            </w:r>
            <w:proofErr w:type="spellStart"/>
            <w:r w:rsidRPr="00196625">
              <w:rPr>
                <w:rFonts w:eastAsia="Times New Roman" w:cs="Times New Roman"/>
                <w:color w:val="000000" w:themeColor="text1"/>
                <w:sz w:val="24"/>
                <w:szCs w:val="24"/>
                <w:lang w:val="en-US" w:eastAsia="en-NZ"/>
              </w:rPr>
              <w:t>Maths</w:t>
            </w:r>
            <w:proofErr w:type="spellEnd"/>
          </w:p>
        </w:tc>
        <w:tc>
          <w:tcPr>
            <w:tcW w:w="6593" w:type="dxa"/>
          </w:tcPr>
          <w:p w:rsidR="00196625" w:rsidRDefault="000B482D" w:rsidP="00196625">
            <w:hyperlink r:id="rId19" w:history="1">
              <w:r w:rsidR="00196625" w:rsidRPr="00B3151F">
                <w:rPr>
                  <w:rStyle w:val="Hyperlink"/>
                </w:rPr>
                <w:t>https://sites.google.com/site/ocarrollmaths/home</w:t>
              </w:r>
            </w:hyperlink>
          </w:p>
        </w:tc>
      </w:tr>
    </w:tbl>
    <w:p w:rsidR="00774846" w:rsidRDefault="00774846">
      <w:pPr>
        <w:rPr>
          <w:b/>
          <w:sz w:val="24"/>
        </w:rPr>
      </w:pPr>
      <w:r>
        <w:rPr>
          <w:b/>
          <w:sz w:val="24"/>
        </w:rPr>
        <w:br w:type="page"/>
      </w:r>
    </w:p>
    <w:p w:rsidR="005E65C5" w:rsidRPr="00774846" w:rsidRDefault="00C93C4D" w:rsidP="00774846">
      <w:pPr>
        <w:jc w:val="center"/>
        <w:rPr>
          <w:b/>
          <w:sz w:val="40"/>
          <w:szCs w:val="40"/>
        </w:rPr>
      </w:pPr>
      <w:r w:rsidRPr="00774846">
        <w:rPr>
          <w:b/>
          <w:sz w:val="40"/>
          <w:szCs w:val="40"/>
        </w:rPr>
        <w:lastRenderedPageBreak/>
        <w:t>Defining Risk</w:t>
      </w:r>
      <w:r w:rsidR="00FD2C7B" w:rsidRPr="00774846">
        <w:rPr>
          <w:b/>
          <w:sz w:val="40"/>
          <w:szCs w:val="40"/>
        </w:rPr>
        <w:t xml:space="preserve"> Discussion</w:t>
      </w:r>
      <w:r w:rsidRPr="00774846">
        <w:rPr>
          <w:b/>
          <w:sz w:val="40"/>
          <w:szCs w:val="40"/>
        </w:rPr>
        <w:t>:</w:t>
      </w:r>
    </w:p>
    <w:p w:rsidR="00C93C4D" w:rsidRDefault="00C93C4D" w:rsidP="00C93C4D">
      <w:pPr>
        <w:pStyle w:val="ListParagraph"/>
        <w:numPr>
          <w:ilvl w:val="0"/>
          <w:numId w:val="2"/>
        </w:numPr>
        <w:rPr>
          <w:sz w:val="24"/>
        </w:rPr>
      </w:pPr>
      <w:r w:rsidRPr="00774846">
        <w:rPr>
          <w:sz w:val="24"/>
        </w:rPr>
        <w:t>From daily life, from what you have been taught in school or from the media, what do you know about the concept of risk? Explain</w:t>
      </w:r>
    </w:p>
    <w:p w:rsidR="00774846" w:rsidRPr="00774846" w:rsidRDefault="00774846" w:rsidP="00774846">
      <w:pPr>
        <w:pStyle w:val="ListParagraph"/>
        <w:rPr>
          <w:sz w:val="24"/>
        </w:rPr>
      </w:pPr>
    </w:p>
    <w:p w:rsidR="00774846" w:rsidRDefault="00C93C4D" w:rsidP="00C93C4D">
      <w:pPr>
        <w:pStyle w:val="ListParagraph"/>
        <w:numPr>
          <w:ilvl w:val="0"/>
          <w:numId w:val="2"/>
        </w:numPr>
        <w:rPr>
          <w:sz w:val="24"/>
        </w:rPr>
      </w:pPr>
      <w:r w:rsidRPr="00774846">
        <w:rPr>
          <w:sz w:val="24"/>
        </w:rPr>
        <w:t xml:space="preserve">Which of these definitions of risk do you prefer? Explain </w:t>
      </w:r>
    </w:p>
    <w:p w:rsidR="00774846" w:rsidRPr="00774846" w:rsidRDefault="00774846" w:rsidP="00774846">
      <w:pPr>
        <w:pStyle w:val="ListParagraph"/>
        <w:rPr>
          <w:sz w:val="24"/>
        </w:rPr>
      </w:pPr>
    </w:p>
    <w:p w:rsidR="00774846" w:rsidRDefault="00C93C4D" w:rsidP="00774846">
      <w:pPr>
        <w:pStyle w:val="ListParagraph"/>
        <w:numPr>
          <w:ilvl w:val="1"/>
          <w:numId w:val="2"/>
        </w:numPr>
        <w:rPr>
          <w:sz w:val="24"/>
        </w:rPr>
      </w:pPr>
      <w:r w:rsidRPr="00774846">
        <w:rPr>
          <w:sz w:val="24"/>
        </w:rPr>
        <w:t xml:space="preserve">A probability with a negative connotation. </w:t>
      </w:r>
    </w:p>
    <w:p w:rsidR="00774846" w:rsidRDefault="00C93C4D" w:rsidP="00774846">
      <w:pPr>
        <w:pStyle w:val="ListParagraph"/>
        <w:numPr>
          <w:ilvl w:val="1"/>
          <w:numId w:val="2"/>
        </w:numPr>
        <w:rPr>
          <w:sz w:val="24"/>
        </w:rPr>
      </w:pPr>
      <w:r w:rsidRPr="00774846">
        <w:rPr>
          <w:sz w:val="24"/>
        </w:rPr>
        <w:t xml:space="preserve">A type of probability that has no theoretical model. </w:t>
      </w:r>
    </w:p>
    <w:p w:rsidR="00774846" w:rsidRDefault="00C93C4D" w:rsidP="00774846">
      <w:pPr>
        <w:pStyle w:val="ListParagraph"/>
        <w:numPr>
          <w:ilvl w:val="1"/>
          <w:numId w:val="2"/>
        </w:numPr>
        <w:rPr>
          <w:sz w:val="24"/>
        </w:rPr>
      </w:pPr>
      <w:r w:rsidRPr="00774846">
        <w:rPr>
          <w:sz w:val="24"/>
        </w:rPr>
        <w:t>An uncertainty that has a numerical value.</w:t>
      </w:r>
    </w:p>
    <w:p w:rsidR="00C93C4D" w:rsidRDefault="00C93C4D" w:rsidP="00774846">
      <w:pPr>
        <w:pStyle w:val="ListParagraph"/>
        <w:numPr>
          <w:ilvl w:val="1"/>
          <w:numId w:val="2"/>
        </w:numPr>
        <w:rPr>
          <w:sz w:val="24"/>
        </w:rPr>
      </w:pPr>
      <w:r w:rsidRPr="00774846">
        <w:rPr>
          <w:sz w:val="24"/>
        </w:rPr>
        <w:t xml:space="preserve"> Other – (explain). Explanation of choice of decision</w:t>
      </w:r>
    </w:p>
    <w:p w:rsidR="00774846" w:rsidRPr="00774846" w:rsidRDefault="00774846" w:rsidP="00774846">
      <w:pPr>
        <w:pStyle w:val="ListParagraph"/>
        <w:rPr>
          <w:sz w:val="24"/>
        </w:rPr>
      </w:pPr>
    </w:p>
    <w:p w:rsidR="00C93C4D" w:rsidRDefault="00C93C4D" w:rsidP="00C93C4D">
      <w:pPr>
        <w:pStyle w:val="ListParagraph"/>
        <w:numPr>
          <w:ilvl w:val="0"/>
          <w:numId w:val="3"/>
        </w:numPr>
        <w:spacing w:after="0" w:line="240" w:lineRule="auto"/>
        <w:rPr>
          <w:sz w:val="24"/>
        </w:rPr>
      </w:pPr>
      <w:r w:rsidRPr="00774846">
        <w:rPr>
          <w:sz w:val="24"/>
        </w:rPr>
        <w:t>How does the study of probability and risk help you make decisions?</w:t>
      </w:r>
    </w:p>
    <w:p w:rsidR="00774846" w:rsidRPr="00774846" w:rsidRDefault="00774846" w:rsidP="00774846">
      <w:pPr>
        <w:pStyle w:val="ListParagraph"/>
        <w:spacing w:after="0" w:line="240" w:lineRule="auto"/>
        <w:rPr>
          <w:sz w:val="24"/>
        </w:rPr>
      </w:pPr>
    </w:p>
    <w:p w:rsidR="00C93C4D" w:rsidRDefault="00C93C4D" w:rsidP="00C93C4D">
      <w:pPr>
        <w:pStyle w:val="ListParagraph"/>
        <w:numPr>
          <w:ilvl w:val="0"/>
          <w:numId w:val="3"/>
        </w:numPr>
        <w:spacing w:after="0" w:line="240" w:lineRule="auto"/>
        <w:rPr>
          <w:sz w:val="24"/>
        </w:rPr>
      </w:pPr>
      <w:r w:rsidRPr="00774846">
        <w:rPr>
          <w:sz w:val="24"/>
        </w:rPr>
        <w:t>How do you deal with the risks associated with driving a car?  (Try to avoid? Buy insurance? Enjoy them? …)</w:t>
      </w:r>
    </w:p>
    <w:p w:rsidR="00774846" w:rsidRPr="00774846" w:rsidRDefault="00774846" w:rsidP="00774846">
      <w:pPr>
        <w:pStyle w:val="ListParagraph"/>
        <w:spacing w:after="0" w:line="240" w:lineRule="auto"/>
        <w:rPr>
          <w:sz w:val="24"/>
        </w:rPr>
      </w:pPr>
    </w:p>
    <w:p w:rsidR="00C93C4D" w:rsidRDefault="00C93C4D" w:rsidP="00C93C4D">
      <w:pPr>
        <w:pStyle w:val="ListParagraph"/>
        <w:numPr>
          <w:ilvl w:val="0"/>
          <w:numId w:val="3"/>
        </w:numPr>
        <w:spacing w:after="0" w:line="240" w:lineRule="auto"/>
        <w:rPr>
          <w:sz w:val="24"/>
        </w:rPr>
      </w:pPr>
      <w:r w:rsidRPr="00774846">
        <w:rPr>
          <w:sz w:val="24"/>
        </w:rPr>
        <w:t xml:space="preserve">Describe a risky activity in which you have been involved. For the activity you were involved in, how much risk was involved? How did you arrive at your risk-estimate? If your answer to the above question is categorical (i.e. using a word like ‘high’ or ‘low’ rather than a number) express it numerically, using a percentage.  Explain the basis for your figure </w:t>
      </w:r>
      <w:r w:rsidR="00001E83" w:rsidRPr="00774846">
        <w:rPr>
          <w:sz w:val="24"/>
        </w:rPr>
        <w:t>would</w:t>
      </w:r>
      <w:r w:rsidRPr="00774846">
        <w:rPr>
          <w:sz w:val="24"/>
        </w:rPr>
        <w:t xml:space="preserve"> your friends who are involved in the same risky activity give the same numerical value as you for its risk?  Explain</w:t>
      </w:r>
    </w:p>
    <w:p w:rsidR="00774846" w:rsidRPr="00774846" w:rsidRDefault="00774846" w:rsidP="00774846">
      <w:pPr>
        <w:pStyle w:val="ListParagraph"/>
        <w:spacing w:after="0" w:line="240" w:lineRule="auto"/>
        <w:rPr>
          <w:sz w:val="24"/>
        </w:rPr>
      </w:pPr>
    </w:p>
    <w:p w:rsidR="00C93C4D" w:rsidRPr="00774846" w:rsidRDefault="00C93C4D" w:rsidP="00C93C4D">
      <w:pPr>
        <w:pStyle w:val="ListParagraph"/>
        <w:numPr>
          <w:ilvl w:val="0"/>
          <w:numId w:val="3"/>
        </w:numPr>
        <w:spacing w:after="0" w:line="240" w:lineRule="auto"/>
        <w:rPr>
          <w:sz w:val="24"/>
        </w:rPr>
      </w:pPr>
      <w:r w:rsidRPr="00774846">
        <w:rPr>
          <w:sz w:val="24"/>
        </w:rPr>
        <w:t>Describe a decision that you made that involved risk. For the decision you made, how much risk was involved? How did you arrive at your risk-estimate? If your answer to the above question is categorical (i.e. using a word like ‘high’ or ‘low’ rather than a number) express it numerically, using a percentage.  Explain the basis for your figure. Would your friends who are involved in making the same decision give the same numerical value as you for its risk?  Explain</w:t>
      </w:r>
    </w:p>
    <w:p w:rsidR="00C93C4D" w:rsidRDefault="00C93C4D"/>
    <w:p w:rsidR="00FD2C7B" w:rsidRDefault="00FD2C7B"/>
    <w:p w:rsidR="00FD2C7B" w:rsidRDefault="00FD2C7B"/>
    <w:p w:rsidR="00FD2C7B" w:rsidRDefault="00FD2C7B"/>
    <w:p w:rsidR="00FD2C7B" w:rsidRDefault="00FD2C7B"/>
    <w:p w:rsidR="00FD2C7B" w:rsidRDefault="00FD2C7B"/>
    <w:p w:rsidR="00FD2C7B" w:rsidRDefault="00FD2C7B"/>
    <w:p w:rsidR="00E061C0" w:rsidRDefault="00E061C0"/>
    <w:p w:rsidR="00C75191" w:rsidRDefault="00C75191" w:rsidP="00C75191">
      <w:pPr>
        <w:shd w:val="clear" w:color="auto" w:fill="FFFFFF"/>
        <w:spacing w:after="270" w:line="420" w:lineRule="atLeast"/>
        <w:jc w:val="center"/>
        <w:textAlignment w:val="baseline"/>
        <w:outlineLvl w:val="0"/>
        <w:rPr>
          <w:rFonts w:eastAsia="Times New Roman" w:cs="Arial"/>
          <w:b/>
          <w:bCs/>
          <w:color w:val="333333"/>
          <w:kern w:val="36"/>
          <w:sz w:val="56"/>
          <w:szCs w:val="42"/>
          <w:lang w:eastAsia="en-NZ"/>
        </w:rPr>
      </w:pPr>
      <w:r>
        <w:rPr>
          <w:rFonts w:eastAsia="Times New Roman" w:cs="Arial"/>
          <w:b/>
          <w:bCs/>
          <w:noProof/>
          <w:color w:val="333333"/>
          <w:kern w:val="36"/>
          <w:sz w:val="56"/>
          <w:szCs w:val="42"/>
          <w:lang w:eastAsia="en-NZ"/>
        </w:rPr>
        <w:lastRenderedPageBreak/>
        <w:drawing>
          <wp:inline distT="0" distB="0" distL="0" distR="0">
            <wp:extent cx="8304172" cy="5981063"/>
            <wp:effectExtent l="0" t="317" r="1587" b="1588"/>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322520" cy="5994278"/>
                    </a:xfrm>
                    <a:prstGeom prst="rect">
                      <a:avLst/>
                    </a:prstGeom>
                    <a:noFill/>
                    <a:ln>
                      <a:noFill/>
                    </a:ln>
                  </pic:spPr>
                </pic:pic>
              </a:graphicData>
            </a:graphic>
          </wp:inline>
        </w:drawing>
      </w:r>
    </w:p>
    <w:p w:rsidR="001E36DE" w:rsidRDefault="001E36DE">
      <w:pPr>
        <w:rPr>
          <w:rFonts w:eastAsia="Times New Roman" w:cs="Arial"/>
          <w:b/>
          <w:bCs/>
          <w:color w:val="333333"/>
          <w:kern w:val="36"/>
          <w:sz w:val="56"/>
          <w:szCs w:val="42"/>
          <w:lang w:eastAsia="en-NZ"/>
        </w:rPr>
      </w:pPr>
    </w:p>
    <w:p w:rsidR="00C75191" w:rsidRPr="00C75191" w:rsidRDefault="00C75191" w:rsidP="00C75191">
      <w:pPr>
        <w:shd w:val="clear" w:color="auto" w:fill="FFFFFF"/>
        <w:spacing w:after="270" w:line="420" w:lineRule="atLeast"/>
        <w:jc w:val="center"/>
        <w:textAlignment w:val="baseline"/>
        <w:outlineLvl w:val="0"/>
        <w:rPr>
          <w:rFonts w:eastAsia="Times New Roman" w:cs="Arial"/>
          <w:b/>
          <w:bCs/>
          <w:color w:val="333333"/>
          <w:kern w:val="36"/>
          <w:sz w:val="56"/>
          <w:szCs w:val="42"/>
          <w:lang w:eastAsia="en-NZ"/>
        </w:rPr>
      </w:pPr>
      <w:r w:rsidRPr="00C75191">
        <w:rPr>
          <w:rFonts w:eastAsia="Times New Roman" w:cs="Arial"/>
          <w:b/>
          <w:bCs/>
          <w:color w:val="333333"/>
          <w:kern w:val="36"/>
          <w:sz w:val="56"/>
          <w:szCs w:val="42"/>
          <w:lang w:eastAsia="en-NZ"/>
        </w:rPr>
        <w:lastRenderedPageBreak/>
        <w:t>Media Reports</w:t>
      </w:r>
    </w:p>
    <w:p w:rsidR="00224774" w:rsidRPr="00224774" w:rsidRDefault="00224774" w:rsidP="00224774">
      <w:pPr>
        <w:shd w:val="clear" w:color="auto" w:fill="FFFFFF"/>
        <w:spacing w:after="270" w:line="420" w:lineRule="atLeast"/>
        <w:textAlignment w:val="baseline"/>
        <w:outlineLvl w:val="0"/>
        <w:rPr>
          <w:rFonts w:ascii="Arial" w:eastAsia="Times New Roman" w:hAnsi="Arial" w:cs="Arial"/>
          <w:b/>
          <w:bCs/>
          <w:color w:val="333333"/>
          <w:kern w:val="36"/>
          <w:sz w:val="42"/>
          <w:szCs w:val="42"/>
          <w:lang w:eastAsia="en-NZ"/>
        </w:rPr>
      </w:pPr>
      <w:r w:rsidRPr="00224774">
        <w:rPr>
          <w:rFonts w:ascii="Arial" w:eastAsia="Times New Roman" w:hAnsi="Arial" w:cs="Arial"/>
          <w:b/>
          <w:bCs/>
          <w:color w:val="333333"/>
          <w:kern w:val="36"/>
          <w:sz w:val="42"/>
          <w:szCs w:val="42"/>
          <w:lang w:eastAsia="en-NZ"/>
        </w:rPr>
        <w:t xml:space="preserve">Eric </w:t>
      </w:r>
      <w:proofErr w:type="spellStart"/>
      <w:r w:rsidRPr="00224774">
        <w:rPr>
          <w:rFonts w:ascii="Arial" w:eastAsia="Times New Roman" w:hAnsi="Arial" w:cs="Arial"/>
          <w:b/>
          <w:bCs/>
          <w:color w:val="333333"/>
          <w:kern w:val="36"/>
          <w:sz w:val="42"/>
          <w:szCs w:val="42"/>
          <w:lang w:eastAsia="en-NZ"/>
        </w:rPr>
        <w:t>Crampton</w:t>
      </w:r>
      <w:proofErr w:type="spellEnd"/>
      <w:r w:rsidRPr="00224774">
        <w:rPr>
          <w:rFonts w:ascii="Arial" w:eastAsia="Times New Roman" w:hAnsi="Arial" w:cs="Arial"/>
          <w:b/>
          <w:bCs/>
          <w:color w:val="333333"/>
          <w:kern w:val="36"/>
          <w:sz w:val="42"/>
          <w:szCs w:val="42"/>
          <w:lang w:eastAsia="en-NZ"/>
        </w:rPr>
        <w:t>: Truth behind that holiday road toll</w:t>
      </w:r>
    </w:p>
    <w:p w:rsidR="00224774" w:rsidRPr="00224774" w:rsidRDefault="00224774" w:rsidP="00224774">
      <w:pPr>
        <w:shd w:val="clear" w:color="auto" w:fill="FFFFFF"/>
        <w:spacing w:after="150" w:line="255" w:lineRule="atLeast"/>
        <w:textAlignment w:val="baseline"/>
        <w:rPr>
          <w:rFonts w:ascii="Calibri" w:eastAsia="Times New Roman" w:hAnsi="Calibri" w:cs="Times New Roman"/>
          <w:color w:val="ABABAB"/>
          <w:sz w:val="21"/>
          <w:szCs w:val="21"/>
          <w:lang w:eastAsia="en-NZ"/>
        </w:rPr>
      </w:pPr>
      <w:r w:rsidRPr="00224774">
        <w:rPr>
          <w:rFonts w:ascii="Calibri" w:eastAsia="Times New Roman" w:hAnsi="Calibri" w:cs="Times New Roman"/>
          <w:color w:val="ABABAB"/>
          <w:sz w:val="21"/>
          <w:szCs w:val="21"/>
          <w:bdr w:val="none" w:sz="0" w:space="0" w:color="auto" w:frame="1"/>
          <w:lang w:eastAsia="en-NZ"/>
        </w:rPr>
        <w:t>10:30 AM Friday Jan 16, 2015</w:t>
      </w:r>
      <w:hyperlink r:id="rId21" w:anchor="comment-form" w:history="1">
        <w:r w:rsidRPr="00224774">
          <w:rPr>
            <w:rFonts w:ascii="Calibri" w:eastAsia="Times New Roman" w:hAnsi="Calibri" w:cs="Times New Roman"/>
            <w:color w:val="006699"/>
            <w:sz w:val="21"/>
            <w:szCs w:val="21"/>
            <w:bdr w:val="none" w:sz="0" w:space="0" w:color="auto" w:frame="1"/>
            <w:lang w:eastAsia="en-NZ"/>
          </w:rPr>
          <w:t>145 comments</w:t>
        </w:r>
      </w:hyperlink>
    </w:p>
    <w:p w:rsidR="00224774" w:rsidRPr="00224774" w:rsidRDefault="00224774" w:rsidP="00224774">
      <w:pPr>
        <w:spacing w:after="150" w:line="255" w:lineRule="atLeast"/>
        <w:ind w:left="30" w:right="90"/>
        <w:textAlignment w:val="baseline"/>
        <w:rPr>
          <w:rFonts w:ascii="Calibri" w:eastAsia="Times New Roman" w:hAnsi="Calibri" w:cs="Times New Roman"/>
          <w:color w:val="ABABAB"/>
          <w:sz w:val="21"/>
          <w:szCs w:val="21"/>
          <w:lang w:eastAsia="en-NZ"/>
        </w:rPr>
      </w:pPr>
    </w:p>
    <w:p w:rsidR="00224774" w:rsidRDefault="00224774" w:rsidP="00224774">
      <w:pPr>
        <w:spacing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noProof/>
          <w:color w:val="333333"/>
          <w:sz w:val="24"/>
          <w:szCs w:val="24"/>
          <w:lang w:eastAsia="en-NZ"/>
        </w:rPr>
        <w:drawing>
          <wp:inline distT="0" distB="0" distL="0" distR="0" wp14:anchorId="41753766" wp14:editId="48DB0BFC">
            <wp:extent cx="5905500" cy="2946400"/>
            <wp:effectExtent l="0" t="0" r="0" b="6350"/>
            <wp:docPr id="17" name="Picture 17" descr="The road toll this holiday season was more than double that of a year earlier, but that doesn't mean enforcement efforts have failed. Photo / Ruth K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ad toll this holiday season was more than double that of a year earlier, but that doesn't mean enforcement efforts have failed. Photo / Ruth Keb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2946400"/>
                    </a:xfrm>
                    <a:prstGeom prst="rect">
                      <a:avLst/>
                    </a:prstGeom>
                    <a:noFill/>
                    <a:ln>
                      <a:noFill/>
                    </a:ln>
                  </pic:spPr>
                </pic:pic>
              </a:graphicData>
            </a:graphic>
          </wp:inline>
        </w:drawing>
      </w:r>
    </w:p>
    <w:p w:rsidR="00224774" w:rsidRPr="00224774" w:rsidRDefault="00224774" w:rsidP="00224774">
      <w:pPr>
        <w:spacing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 xml:space="preserve">The road toll this holiday season was more than double that of a year earlier, but that doesn't mean enforcement efforts have failed. Photo / Ruth </w:t>
      </w:r>
      <w:proofErr w:type="spellStart"/>
      <w:r w:rsidRPr="00224774">
        <w:rPr>
          <w:rFonts w:ascii="Calibri" w:eastAsia="Times New Roman" w:hAnsi="Calibri" w:cs="Times New Roman"/>
          <w:color w:val="333333"/>
          <w:sz w:val="24"/>
          <w:szCs w:val="24"/>
          <w:lang w:eastAsia="en-NZ"/>
        </w:rPr>
        <w:t>Keber</w:t>
      </w:r>
      <w:proofErr w:type="spellEnd"/>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 xml:space="preserve">People have a bad habit of wanting to tell stories about random low-probability events. Whether </w:t>
      </w:r>
      <w:proofErr w:type="gramStart"/>
      <w:r w:rsidRPr="00224774">
        <w:rPr>
          <w:rFonts w:ascii="Calibri" w:eastAsia="Times New Roman" w:hAnsi="Calibri" w:cs="Times New Roman"/>
          <w:color w:val="333333"/>
          <w:sz w:val="24"/>
          <w:szCs w:val="24"/>
          <w:lang w:eastAsia="en-NZ"/>
        </w:rPr>
        <w:t>it's</w:t>
      </w:r>
      <w:proofErr w:type="gramEnd"/>
      <w:r w:rsidRPr="00224774">
        <w:rPr>
          <w:rFonts w:ascii="Calibri" w:eastAsia="Times New Roman" w:hAnsi="Calibri" w:cs="Times New Roman"/>
          <w:color w:val="333333"/>
          <w:sz w:val="24"/>
          <w:szCs w:val="24"/>
          <w:lang w:eastAsia="en-NZ"/>
        </w:rPr>
        <w:t xml:space="preserve"> a few dog attacks that happened in the same couple of weeks, or a blip in youth drinking rates, people want to know why.</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Often, the best answer is that we should ignore individual monthly data points and look to the longer term trend.</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The most recent holiday road toll statistics provided fodder for a lot of armchair reckonings over the past week. There were 15 fatal crashes this holiday season; last year, there were six.</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Nobody has been keen to take credit for the increase, though we can be fairly sure that if the figure had halved instead of doubling, the police would have credited tough speed enforcement measures and the drop in the blood alcohol limit.</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And so we all look for stories to explain the difference. Perhaps everyone had their eyes on the speedometer rather than on the road for fear of breaching the tighter speed enforcement rules.</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Maybe strict enforcement of the 100km/h limit led to more dangerous overtaking situations.</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lastRenderedPageBreak/>
        <w:t>But the best explanation is probably that events like this can fluctuate a lot from year to year. Accident rates are very low. New Zealand has about eight traffic fatalities for every billion kilometres driven.</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So if you drove a billion kilometres this holiday season, you could expect to have died eight times. If you drove a more normal, but still high, thousand kilometres, you would have about a 0.0008 per cent chance of being in a fatal accident.</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Or, for every 125,000 vehicles travelling 1000km over the holiday season, we would expect one death.</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When events are infrequent, like fatal traffic accidents, small things can affect the figures.</w:t>
      </w:r>
    </w:p>
    <w:p w:rsidR="00224774" w:rsidRPr="00224774" w:rsidRDefault="00224774" w:rsidP="00224774">
      <w:pPr>
        <w:spacing w:after="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Blogger James K, at </w:t>
      </w:r>
      <w:hyperlink r:id="rId23" w:tgtFrame="_blank" w:history="1">
        <w:r w:rsidRPr="00224774">
          <w:rPr>
            <w:rFonts w:ascii="Calibri" w:eastAsia="Times New Roman" w:hAnsi="Calibri" w:cs="Times New Roman"/>
            <w:color w:val="006699"/>
            <w:sz w:val="24"/>
            <w:szCs w:val="24"/>
            <w:bdr w:val="none" w:sz="0" w:space="0" w:color="auto" w:frame="1"/>
            <w:lang w:eastAsia="en-NZ"/>
          </w:rPr>
          <w:t>Ordinary Times</w:t>
        </w:r>
      </w:hyperlink>
      <w:r w:rsidRPr="00224774">
        <w:rPr>
          <w:rFonts w:ascii="Calibri" w:eastAsia="Times New Roman" w:hAnsi="Calibri" w:cs="Times New Roman"/>
          <w:color w:val="333333"/>
          <w:sz w:val="24"/>
          <w:szCs w:val="24"/>
          <w:lang w:eastAsia="en-NZ"/>
        </w:rPr>
        <w:t>, points out that this year's holiday season was two days longer than last year's, so we should have expected a 20 per cent rise in accident rates solely because of that.</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He also shows that when we look at longer-term trends in the daily number of crashes, this year's figures remain within the expected range.</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It is a bit odd that this year's figures are higher than last year's despite changes to the drink-driving limit and police speed enforcement, but accident rates in any one season are likely to depend more on the holiday weather than on recent policy changes.</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This summer's been particularly nice in Wellington. If the weather had been worse, more people would have stayed home and fewer people would have died in car accidents.</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But again, that is just a story. We would need to check longer term accident rates against the weather to be able to tell.</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And plausible-sounding stories often fail to bear up. Having been frustrated in a couple of queues this season, I wondered whether tougher enforcement of the 100km/h limit had led to more dangerous overtaking manoeuvres.</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But the Ministry of Transport told me that only one of the 15 crashes resulted from overtaking. It would be a stretch to say that one out of 15 is higher or lower than expected - you have to look to longer-term trends to be able to draw conclusions.</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 xml:space="preserve">Whether </w:t>
      </w:r>
      <w:proofErr w:type="gramStart"/>
      <w:r w:rsidRPr="00224774">
        <w:rPr>
          <w:rFonts w:ascii="Calibri" w:eastAsia="Times New Roman" w:hAnsi="Calibri" w:cs="Times New Roman"/>
          <w:color w:val="333333"/>
          <w:sz w:val="24"/>
          <w:szCs w:val="24"/>
          <w:lang w:eastAsia="en-NZ"/>
        </w:rPr>
        <w:t>it's</w:t>
      </w:r>
      <w:proofErr w:type="gramEnd"/>
      <w:r w:rsidRPr="00224774">
        <w:rPr>
          <w:rFonts w:ascii="Calibri" w:eastAsia="Times New Roman" w:hAnsi="Calibri" w:cs="Times New Roman"/>
          <w:color w:val="333333"/>
          <w:sz w:val="24"/>
          <w:szCs w:val="24"/>
          <w:lang w:eastAsia="en-NZ"/>
        </w:rPr>
        <w:t xml:space="preserve"> dog attacks or other random, low-frequency events, it's always best to look to the longer-term trends rather than tell stories based on statistical blips.</w:t>
      </w:r>
    </w:p>
    <w:p w:rsidR="00224774" w:rsidRPr="00224774" w:rsidRDefault="00224774" w:rsidP="00224774">
      <w:pPr>
        <w:spacing w:after="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i/>
          <w:iCs/>
          <w:color w:val="333333"/>
          <w:sz w:val="24"/>
          <w:szCs w:val="24"/>
          <w:bdr w:val="none" w:sz="0" w:space="0" w:color="auto" w:frame="1"/>
          <w:lang w:eastAsia="en-NZ"/>
        </w:rPr>
        <w:t xml:space="preserve">Dr Eric </w:t>
      </w:r>
      <w:proofErr w:type="spellStart"/>
      <w:r w:rsidRPr="00224774">
        <w:rPr>
          <w:rFonts w:ascii="Calibri" w:eastAsia="Times New Roman" w:hAnsi="Calibri" w:cs="Times New Roman"/>
          <w:i/>
          <w:iCs/>
          <w:color w:val="333333"/>
          <w:sz w:val="24"/>
          <w:szCs w:val="24"/>
          <w:bdr w:val="none" w:sz="0" w:space="0" w:color="auto" w:frame="1"/>
          <w:lang w:eastAsia="en-NZ"/>
        </w:rPr>
        <w:t>Crampton</w:t>
      </w:r>
      <w:proofErr w:type="spellEnd"/>
      <w:r w:rsidRPr="00224774">
        <w:rPr>
          <w:rFonts w:ascii="Calibri" w:eastAsia="Times New Roman" w:hAnsi="Calibri" w:cs="Times New Roman"/>
          <w:i/>
          <w:iCs/>
          <w:color w:val="333333"/>
          <w:sz w:val="24"/>
          <w:szCs w:val="24"/>
          <w:bdr w:val="none" w:sz="0" w:space="0" w:color="auto" w:frame="1"/>
          <w:lang w:eastAsia="en-NZ"/>
        </w:rPr>
        <w:t xml:space="preserve"> is the head of research at The New Zealand Initiative.</w:t>
      </w:r>
    </w:p>
    <w:p w:rsidR="00224774" w:rsidRPr="00224774" w:rsidRDefault="00224774" w:rsidP="00224774">
      <w:pPr>
        <w:spacing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 </w:t>
      </w:r>
      <w:hyperlink r:id="rId24" w:tgtFrame="_blank" w:history="1">
        <w:r w:rsidRPr="00224774">
          <w:rPr>
            <w:rFonts w:ascii="Calibri" w:eastAsia="Times New Roman" w:hAnsi="Calibri" w:cs="Times New Roman"/>
            <w:color w:val="006699"/>
            <w:sz w:val="24"/>
            <w:szCs w:val="24"/>
            <w:bdr w:val="none" w:sz="0" w:space="0" w:color="auto" w:frame="1"/>
            <w:lang w:eastAsia="en-NZ"/>
          </w:rPr>
          <w:t>NZ Herald</w:t>
        </w:r>
      </w:hyperlink>
    </w:p>
    <w:p w:rsidR="00224774" w:rsidRDefault="00224774">
      <w:pPr>
        <w:rPr>
          <w:rFonts w:ascii="Arial" w:eastAsia="Times New Roman" w:hAnsi="Arial" w:cs="Arial"/>
          <w:b/>
          <w:bCs/>
          <w:color w:val="333333"/>
          <w:kern w:val="36"/>
          <w:sz w:val="42"/>
          <w:szCs w:val="42"/>
          <w:lang w:eastAsia="en-NZ"/>
        </w:rPr>
      </w:pPr>
      <w:r>
        <w:rPr>
          <w:rFonts w:ascii="Arial" w:eastAsia="Times New Roman" w:hAnsi="Arial" w:cs="Arial"/>
          <w:b/>
          <w:bCs/>
          <w:color w:val="333333"/>
          <w:kern w:val="36"/>
          <w:sz w:val="42"/>
          <w:szCs w:val="42"/>
          <w:lang w:eastAsia="en-NZ"/>
        </w:rPr>
        <w:br w:type="page"/>
      </w:r>
    </w:p>
    <w:p w:rsidR="00224774" w:rsidRPr="00224774" w:rsidRDefault="00224774" w:rsidP="00224774">
      <w:pPr>
        <w:shd w:val="clear" w:color="auto" w:fill="FFFFFF"/>
        <w:spacing w:after="270" w:line="420" w:lineRule="atLeast"/>
        <w:textAlignment w:val="baseline"/>
        <w:outlineLvl w:val="0"/>
        <w:rPr>
          <w:rFonts w:ascii="Arial" w:eastAsia="Times New Roman" w:hAnsi="Arial" w:cs="Arial"/>
          <w:b/>
          <w:bCs/>
          <w:color w:val="333333"/>
          <w:kern w:val="36"/>
          <w:sz w:val="42"/>
          <w:szCs w:val="42"/>
          <w:lang w:eastAsia="en-NZ"/>
        </w:rPr>
      </w:pPr>
      <w:r w:rsidRPr="00224774">
        <w:rPr>
          <w:rFonts w:ascii="Arial" w:eastAsia="Times New Roman" w:hAnsi="Arial" w:cs="Arial"/>
          <w:b/>
          <w:bCs/>
          <w:color w:val="333333"/>
          <w:kern w:val="36"/>
          <w:sz w:val="42"/>
          <w:szCs w:val="42"/>
          <w:lang w:eastAsia="en-NZ"/>
        </w:rPr>
        <w:lastRenderedPageBreak/>
        <w:t>More good news for chocolate lovers</w:t>
      </w:r>
    </w:p>
    <w:p w:rsidR="00224774" w:rsidRPr="00224774" w:rsidRDefault="00224774" w:rsidP="00224774">
      <w:pPr>
        <w:shd w:val="clear" w:color="auto" w:fill="FFFFFF"/>
        <w:spacing w:after="150" w:line="255" w:lineRule="atLeast"/>
        <w:textAlignment w:val="baseline"/>
        <w:rPr>
          <w:rFonts w:ascii="Calibri" w:eastAsia="Times New Roman" w:hAnsi="Calibri" w:cs="Times New Roman"/>
          <w:color w:val="ABABAB"/>
          <w:sz w:val="21"/>
          <w:szCs w:val="21"/>
          <w:lang w:eastAsia="en-NZ"/>
        </w:rPr>
      </w:pPr>
      <w:r w:rsidRPr="00224774">
        <w:rPr>
          <w:rFonts w:ascii="Calibri" w:eastAsia="Times New Roman" w:hAnsi="Calibri" w:cs="Times New Roman"/>
          <w:color w:val="ABABAB"/>
          <w:sz w:val="21"/>
          <w:szCs w:val="21"/>
          <w:bdr w:val="none" w:sz="0" w:space="0" w:color="auto" w:frame="1"/>
          <w:lang w:eastAsia="en-NZ"/>
        </w:rPr>
        <w:t>12:20 PM Tuesday Jun 16, 2015</w:t>
      </w:r>
    </w:p>
    <w:p w:rsidR="00224774" w:rsidRPr="00224774" w:rsidRDefault="00224774" w:rsidP="00224774">
      <w:pPr>
        <w:spacing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noProof/>
          <w:color w:val="333333"/>
          <w:sz w:val="24"/>
          <w:szCs w:val="24"/>
          <w:lang w:eastAsia="en-NZ"/>
        </w:rPr>
        <w:drawing>
          <wp:inline distT="0" distB="0" distL="0" distR="0" wp14:anchorId="35E89790" wp14:editId="370B5058">
            <wp:extent cx="5905500" cy="2946400"/>
            <wp:effectExtent l="0" t="0" r="0" b="6350"/>
            <wp:docPr id="21" name="Picture 21" descr="Dark chocolate is usually said to have more beneficial effects than milk chocolate.&#10;Photo / Think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 chocolate is usually said to have more beneficial effects than milk chocolate.&#10;Photo / Thinkstoc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0" cy="2946400"/>
                    </a:xfrm>
                    <a:prstGeom prst="rect">
                      <a:avLst/>
                    </a:prstGeom>
                    <a:noFill/>
                    <a:ln>
                      <a:noFill/>
                    </a:ln>
                  </pic:spPr>
                </pic:pic>
              </a:graphicData>
            </a:graphic>
          </wp:inline>
        </w:drawing>
      </w:r>
    </w:p>
    <w:p w:rsidR="00224774" w:rsidRPr="00224774" w:rsidRDefault="00224774" w:rsidP="00224774">
      <w:pPr>
        <w:spacing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 xml:space="preserve">Dark chocolate is usually said to have more beneficial effects than milk chocolate. Photo / </w:t>
      </w:r>
      <w:proofErr w:type="spellStart"/>
      <w:r w:rsidRPr="00224774">
        <w:rPr>
          <w:rFonts w:ascii="Calibri" w:eastAsia="Times New Roman" w:hAnsi="Calibri" w:cs="Times New Roman"/>
          <w:color w:val="333333"/>
          <w:sz w:val="24"/>
          <w:szCs w:val="24"/>
          <w:lang w:eastAsia="en-NZ"/>
        </w:rPr>
        <w:t>Thinkstock</w:t>
      </w:r>
      <w:proofErr w:type="spellEnd"/>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Eating up to 100 grams of chocolate a day has been linked to a lowered risk of heart disease and stroke.</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Research led by the University of Aberdeen has concluded there's no evidence for cutting out chocolate to lower the risk of cardiovascular disease.</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The study found that, compared to people who ate no chocolate, those with a higher intake had an 11 per cent lesser risk of cardiovascular disease and a 25 per cent reduced risk of associated death.</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It was also linked with a 9 per cent lower risk of hospital admission or death as a result of coronary heart disease, while it was similarly associated with a 23 per cent reduced risk of stroke, even after taking into account other factors.</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The study is tracking the impact of diet on the long-term health of 25,000 men and women in Norfolk.</w:t>
      </w:r>
    </w:p>
    <w:p w:rsidR="00224774" w:rsidRPr="00224774" w:rsidRDefault="00224774" w:rsidP="00224774">
      <w:pPr>
        <w:spacing w:after="180"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The authors pointed out that dark chocolate is usually said to have more beneficial effects than milk chocolate, but milk chocolate was more frequently eaten by the Norfolk participants.</w:t>
      </w:r>
    </w:p>
    <w:p w:rsidR="00224774" w:rsidRPr="00224774" w:rsidRDefault="00224774" w:rsidP="00224774">
      <w:pPr>
        <w:spacing w:line="315" w:lineRule="atLeast"/>
        <w:textAlignment w:val="baseline"/>
        <w:rPr>
          <w:rFonts w:ascii="Calibri" w:eastAsia="Times New Roman" w:hAnsi="Calibri" w:cs="Times New Roman"/>
          <w:color w:val="333333"/>
          <w:sz w:val="24"/>
          <w:szCs w:val="24"/>
          <w:lang w:eastAsia="en-NZ"/>
        </w:rPr>
      </w:pPr>
      <w:r w:rsidRPr="00224774">
        <w:rPr>
          <w:rFonts w:ascii="Calibri" w:eastAsia="Times New Roman" w:hAnsi="Calibri" w:cs="Times New Roman"/>
          <w:color w:val="333333"/>
          <w:sz w:val="24"/>
          <w:szCs w:val="24"/>
          <w:lang w:eastAsia="en-NZ"/>
        </w:rPr>
        <w:t>- PAA</w:t>
      </w:r>
    </w:p>
    <w:p w:rsidR="00224774" w:rsidRPr="00224774" w:rsidRDefault="00224774" w:rsidP="00224774"/>
    <w:p w:rsidR="00224774" w:rsidRDefault="00224774"/>
    <w:p w:rsidR="00E061C0" w:rsidRDefault="00E061C0"/>
    <w:p w:rsidR="00FD2C7B" w:rsidRPr="00FD2C7B" w:rsidRDefault="00FD2C7B" w:rsidP="00FD2C7B">
      <w:pPr>
        <w:jc w:val="center"/>
        <w:rPr>
          <w:b/>
          <w:sz w:val="44"/>
          <w:szCs w:val="44"/>
        </w:rPr>
      </w:pPr>
      <w:bookmarkStart w:id="0" w:name="_GoBack"/>
      <w:bookmarkEnd w:id="0"/>
      <w:r w:rsidRPr="00FD2C7B">
        <w:rPr>
          <w:b/>
          <w:sz w:val="44"/>
          <w:szCs w:val="44"/>
        </w:rPr>
        <w:lastRenderedPageBreak/>
        <w:t>Risk Critical Questions</w:t>
      </w:r>
    </w:p>
    <w:tbl>
      <w:tblPr>
        <w:tblStyle w:val="TableGrid"/>
        <w:tblW w:w="0" w:type="auto"/>
        <w:tblLook w:val="04A0" w:firstRow="1" w:lastRow="0" w:firstColumn="1" w:lastColumn="0" w:noHBand="0" w:noVBand="1"/>
      </w:tblPr>
      <w:tblGrid>
        <w:gridCol w:w="1668"/>
        <w:gridCol w:w="3827"/>
        <w:gridCol w:w="3747"/>
      </w:tblGrid>
      <w:tr w:rsidR="006D1702" w:rsidTr="00864586">
        <w:tc>
          <w:tcPr>
            <w:tcW w:w="1668" w:type="dxa"/>
          </w:tcPr>
          <w:p w:rsidR="006D1702" w:rsidRPr="006D1702" w:rsidRDefault="006D1702" w:rsidP="00864586">
            <w:pPr>
              <w:spacing w:line="360" w:lineRule="auto"/>
              <w:rPr>
                <w:b/>
                <w:sz w:val="28"/>
                <w:szCs w:val="24"/>
              </w:rPr>
            </w:pPr>
            <w:r w:rsidRPr="006D1702">
              <w:rPr>
                <w:b/>
                <w:sz w:val="28"/>
                <w:szCs w:val="24"/>
              </w:rPr>
              <w:t>Big Idea Question</w:t>
            </w:r>
          </w:p>
        </w:tc>
        <w:tc>
          <w:tcPr>
            <w:tcW w:w="3827" w:type="dxa"/>
          </w:tcPr>
          <w:p w:rsidR="006D1702" w:rsidRPr="006D1702" w:rsidRDefault="006D1702" w:rsidP="00864586">
            <w:pPr>
              <w:spacing w:line="360" w:lineRule="auto"/>
              <w:rPr>
                <w:b/>
                <w:sz w:val="28"/>
                <w:szCs w:val="24"/>
              </w:rPr>
            </w:pPr>
            <w:r w:rsidRPr="006D1702">
              <w:rPr>
                <w:b/>
                <w:sz w:val="28"/>
                <w:szCs w:val="24"/>
              </w:rPr>
              <w:t>Details</w:t>
            </w:r>
          </w:p>
        </w:tc>
        <w:tc>
          <w:tcPr>
            <w:tcW w:w="3747" w:type="dxa"/>
          </w:tcPr>
          <w:p w:rsidR="006D1702" w:rsidRPr="006D1702" w:rsidRDefault="006D1702" w:rsidP="00864586">
            <w:pPr>
              <w:spacing w:line="360" w:lineRule="auto"/>
              <w:rPr>
                <w:b/>
                <w:sz w:val="28"/>
                <w:szCs w:val="24"/>
              </w:rPr>
            </w:pPr>
            <w:r w:rsidRPr="006D1702">
              <w:rPr>
                <w:b/>
                <w:sz w:val="28"/>
                <w:szCs w:val="24"/>
              </w:rPr>
              <w:t>Critical Questions</w:t>
            </w:r>
          </w:p>
        </w:tc>
      </w:tr>
      <w:tr w:rsidR="006D1702" w:rsidTr="00864586">
        <w:tc>
          <w:tcPr>
            <w:tcW w:w="1668" w:type="dxa"/>
          </w:tcPr>
          <w:p w:rsidR="006D1702" w:rsidRPr="006D1702" w:rsidRDefault="006D1702" w:rsidP="00864586">
            <w:pPr>
              <w:spacing w:line="360" w:lineRule="auto"/>
              <w:rPr>
                <w:sz w:val="28"/>
                <w:szCs w:val="24"/>
              </w:rPr>
            </w:pPr>
            <w:r w:rsidRPr="006D1702">
              <w:rPr>
                <w:sz w:val="28"/>
                <w:szCs w:val="24"/>
              </w:rPr>
              <w:t>Risk of What?</w:t>
            </w:r>
          </w:p>
        </w:tc>
        <w:tc>
          <w:tcPr>
            <w:tcW w:w="3827" w:type="dxa"/>
          </w:tcPr>
          <w:p w:rsidR="006D1702" w:rsidRPr="006D1702" w:rsidRDefault="006D1702" w:rsidP="00864586">
            <w:pPr>
              <w:rPr>
                <w:sz w:val="28"/>
                <w:szCs w:val="24"/>
              </w:rPr>
            </w:pPr>
            <w:r w:rsidRPr="006D1702">
              <w:rPr>
                <w:sz w:val="28"/>
                <w:szCs w:val="24"/>
              </w:rPr>
              <w:t xml:space="preserve">People need to understand the outcome to which the risk refers. </w:t>
            </w:r>
          </w:p>
          <w:p w:rsidR="006D1702" w:rsidRPr="006D1702" w:rsidRDefault="006D1702" w:rsidP="00864586">
            <w:pPr>
              <w:rPr>
                <w:sz w:val="28"/>
                <w:szCs w:val="24"/>
              </w:rPr>
            </w:pPr>
          </w:p>
          <w:p w:rsidR="006D1702" w:rsidRPr="006D1702" w:rsidRDefault="006D1702" w:rsidP="00864586">
            <w:pPr>
              <w:rPr>
                <w:sz w:val="28"/>
                <w:szCs w:val="24"/>
              </w:rPr>
            </w:pPr>
            <w:r w:rsidRPr="006D1702">
              <w:rPr>
                <w:sz w:val="28"/>
                <w:szCs w:val="24"/>
              </w:rPr>
              <w:t xml:space="preserve">Since there is no such thing as zero risk the size matters.  The size should be expressed in absolute terms or the base line information must be given.  </w:t>
            </w:r>
          </w:p>
          <w:p w:rsidR="006D1702" w:rsidRPr="006D1702" w:rsidRDefault="006D1702" w:rsidP="00864586">
            <w:pPr>
              <w:rPr>
                <w:sz w:val="28"/>
                <w:szCs w:val="24"/>
              </w:rPr>
            </w:pPr>
          </w:p>
          <w:p w:rsidR="006D1702" w:rsidRDefault="006D1702" w:rsidP="00864586">
            <w:pPr>
              <w:rPr>
                <w:sz w:val="28"/>
                <w:szCs w:val="24"/>
              </w:rPr>
            </w:pPr>
            <w:r w:rsidRPr="006D1702">
              <w:rPr>
                <w:sz w:val="28"/>
                <w:szCs w:val="24"/>
              </w:rPr>
              <w:t>People must also understand that there are two types of errors; false positives and false negatives</w:t>
            </w:r>
          </w:p>
          <w:p w:rsidR="006D1702" w:rsidRPr="006D1702" w:rsidRDefault="006D1702" w:rsidP="00864586">
            <w:pPr>
              <w:rPr>
                <w:sz w:val="28"/>
                <w:szCs w:val="24"/>
              </w:rPr>
            </w:pPr>
          </w:p>
        </w:tc>
        <w:tc>
          <w:tcPr>
            <w:tcW w:w="3747" w:type="dxa"/>
          </w:tcPr>
          <w:p w:rsidR="006D1702" w:rsidRPr="006D1702" w:rsidRDefault="006D1702" w:rsidP="006D1702">
            <w:pPr>
              <w:pStyle w:val="ListParagraph"/>
              <w:numPr>
                <w:ilvl w:val="0"/>
                <w:numId w:val="4"/>
              </w:numPr>
              <w:ind w:left="601"/>
              <w:rPr>
                <w:i/>
                <w:sz w:val="28"/>
                <w:szCs w:val="24"/>
              </w:rPr>
            </w:pPr>
            <w:r w:rsidRPr="006D1702">
              <w:rPr>
                <w:i/>
                <w:sz w:val="28"/>
                <w:szCs w:val="24"/>
              </w:rPr>
              <w:t>What is the baseline?  Has information about the baseline been included?</w:t>
            </w:r>
          </w:p>
          <w:p w:rsidR="006D1702" w:rsidRPr="006D1702" w:rsidRDefault="006D1702" w:rsidP="006D1702">
            <w:pPr>
              <w:pStyle w:val="ListParagraph"/>
              <w:numPr>
                <w:ilvl w:val="0"/>
                <w:numId w:val="4"/>
              </w:numPr>
              <w:ind w:left="601"/>
              <w:rPr>
                <w:i/>
                <w:sz w:val="28"/>
                <w:szCs w:val="24"/>
              </w:rPr>
            </w:pPr>
            <w:r w:rsidRPr="006D1702">
              <w:rPr>
                <w:i/>
                <w:sz w:val="28"/>
                <w:szCs w:val="24"/>
              </w:rPr>
              <w:t>Are the harms and benefits being expressed in the same format?</w:t>
            </w:r>
          </w:p>
          <w:p w:rsidR="006D1702" w:rsidRPr="006D1702" w:rsidRDefault="006D1702" w:rsidP="006D1702">
            <w:pPr>
              <w:pStyle w:val="ListParagraph"/>
              <w:numPr>
                <w:ilvl w:val="0"/>
                <w:numId w:val="4"/>
              </w:numPr>
              <w:ind w:left="601"/>
              <w:rPr>
                <w:i/>
                <w:sz w:val="28"/>
                <w:szCs w:val="24"/>
              </w:rPr>
            </w:pPr>
            <w:r w:rsidRPr="006D1702">
              <w:rPr>
                <w:i/>
                <w:sz w:val="28"/>
                <w:szCs w:val="24"/>
              </w:rPr>
              <w:t>Is the risk in relative risk form or absolute risk form?</w:t>
            </w:r>
          </w:p>
          <w:p w:rsidR="006D1702" w:rsidRPr="006D1702" w:rsidRDefault="006D1702" w:rsidP="006D1702">
            <w:pPr>
              <w:pStyle w:val="ListParagraph"/>
              <w:numPr>
                <w:ilvl w:val="0"/>
                <w:numId w:val="4"/>
              </w:numPr>
              <w:ind w:left="601"/>
              <w:rPr>
                <w:i/>
                <w:sz w:val="28"/>
                <w:szCs w:val="24"/>
              </w:rPr>
            </w:pPr>
            <w:r w:rsidRPr="006D1702">
              <w:rPr>
                <w:i/>
                <w:sz w:val="28"/>
                <w:szCs w:val="24"/>
              </w:rPr>
              <w:t>Can the risk be shown in different formats, visual and numerical?</w:t>
            </w:r>
          </w:p>
        </w:tc>
      </w:tr>
      <w:tr w:rsidR="006D1702" w:rsidTr="00864586">
        <w:tc>
          <w:tcPr>
            <w:tcW w:w="1668" w:type="dxa"/>
          </w:tcPr>
          <w:p w:rsidR="006D1702" w:rsidRPr="006D1702" w:rsidRDefault="006D1702" w:rsidP="00864586">
            <w:pPr>
              <w:spacing w:line="360" w:lineRule="auto"/>
              <w:rPr>
                <w:sz w:val="28"/>
                <w:szCs w:val="24"/>
              </w:rPr>
            </w:pPr>
            <w:r w:rsidRPr="006D1702">
              <w:rPr>
                <w:sz w:val="28"/>
                <w:szCs w:val="24"/>
              </w:rPr>
              <w:t>What is the Frame?</w:t>
            </w:r>
          </w:p>
          <w:p w:rsidR="006D1702" w:rsidRPr="006D1702" w:rsidRDefault="006D1702" w:rsidP="00864586">
            <w:pPr>
              <w:spacing w:line="360" w:lineRule="auto"/>
              <w:rPr>
                <w:sz w:val="28"/>
                <w:szCs w:val="24"/>
              </w:rPr>
            </w:pPr>
            <w:r w:rsidRPr="006D1702">
              <w:rPr>
                <w:sz w:val="28"/>
                <w:szCs w:val="24"/>
              </w:rPr>
              <w:t>-Time frame and wording</w:t>
            </w:r>
          </w:p>
        </w:tc>
        <w:tc>
          <w:tcPr>
            <w:tcW w:w="3827" w:type="dxa"/>
          </w:tcPr>
          <w:p w:rsidR="006D1702" w:rsidRPr="006D1702" w:rsidRDefault="006D1702" w:rsidP="00864586">
            <w:pPr>
              <w:rPr>
                <w:sz w:val="28"/>
                <w:szCs w:val="24"/>
              </w:rPr>
            </w:pPr>
            <w:r w:rsidRPr="006D1702">
              <w:rPr>
                <w:sz w:val="28"/>
                <w:szCs w:val="24"/>
              </w:rPr>
              <w:t xml:space="preserve">Time frames, such as in the next ten years, are easier to understand than life time risks.  </w:t>
            </w:r>
          </w:p>
          <w:p w:rsidR="006D1702" w:rsidRPr="006D1702" w:rsidRDefault="006D1702" w:rsidP="00864586">
            <w:pPr>
              <w:rPr>
                <w:sz w:val="28"/>
                <w:szCs w:val="24"/>
              </w:rPr>
            </w:pPr>
          </w:p>
          <w:p w:rsidR="006D1702" w:rsidRPr="006D1702" w:rsidRDefault="006D1702" w:rsidP="00864586">
            <w:pPr>
              <w:rPr>
                <w:sz w:val="28"/>
                <w:szCs w:val="24"/>
              </w:rPr>
            </w:pPr>
          </w:p>
        </w:tc>
        <w:tc>
          <w:tcPr>
            <w:tcW w:w="3747" w:type="dxa"/>
          </w:tcPr>
          <w:p w:rsidR="006D1702" w:rsidRPr="006D1702" w:rsidRDefault="006D1702" w:rsidP="006D1702">
            <w:pPr>
              <w:pStyle w:val="ListParagraph"/>
              <w:numPr>
                <w:ilvl w:val="0"/>
                <w:numId w:val="5"/>
              </w:numPr>
              <w:ind w:left="601"/>
              <w:rPr>
                <w:i/>
                <w:sz w:val="28"/>
                <w:szCs w:val="24"/>
              </w:rPr>
            </w:pPr>
            <w:r w:rsidRPr="006D1702">
              <w:rPr>
                <w:i/>
                <w:sz w:val="28"/>
                <w:szCs w:val="24"/>
              </w:rPr>
              <w:t xml:space="preserve">Is the time frame stated?  </w:t>
            </w:r>
          </w:p>
          <w:p w:rsidR="006D1702" w:rsidRPr="006D1702" w:rsidRDefault="006D1702" w:rsidP="006D1702">
            <w:pPr>
              <w:pStyle w:val="ListParagraph"/>
              <w:numPr>
                <w:ilvl w:val="0"/>
                <w:numId w:val="5"/>
              </w:numPr>
              <w:ind w:left="601"/>
              <w:rPr>
                <w:i/>
                <w:sz w:val="28"/>
                <w:szCs w:val="24"/>
              </w:rPr>
            </w:pPr>
            <w:r w:rsidRPr="006D1702">
              <w:rPr>
                <w:i/>
                <w:sz w:val="28"/>
                <w:szCs w:val="24"/>
              </w:rPr>
              <w:t>Are the time frames for the two risks I am comparing the same (for example in relative risk and an odds ratio)?</w:t>
            </w:r>
          </w:p>
          <w:p w:rsidR="006D1702" w:rsidRPr="006D1702" w:rsidRDefault="006D1702" w:rsidP="006D1702">
            <w:pPr>
              <w:pStyle w:val="ListParagraph"/>
              <w:numPr>
                <w:ilvl w:val="0"/>
                <w:numId w:val="5"/>
              </w:numPr>
              <w:ind w:left="601"/>
              <w:rPr>
                <w:i/>
                <w:sz w:val="28"/>
                <w:szCs w:val="24"/>
              </w:rPr>
            </w:pPr>
            <w:r w:rsidRPr="006D1702">
              <w:rPr>
                <w:i/>
                <w:sz w:val="28"/>
                <w:szCs w:val="24"/>
              </w:rPr>
              <w:t xml:space="preserve">What is the framing of the question?  </w:t>
            </w:r>
          </w:p>
          <w:p w:rsidR="006D1702" w:rsidRDefault="006D1702" w:rsidP="006D1702">
            <w:pPr>
              <w:pStyle w:val="ListParagraph"/>
              <w:numPr>
                <w:ilvl w:val="0"/>
                <w:numId w:val="5"/>
              </w:numPr>
              <w:ind w:left="601"/>
              <w:rPr>
                <w:i/>
                <w:sz w:val="28"/>
                <w:szCs w:val="24"/>
              </w:rPr>
            </w:pPr>
            <w:r w:rsidRPr="006D1702">
              <w:rPr>
                <w:i/>
                <w:sz w:val="28"/>
                <w:szCs w:val="24"/>
              </w:rPr>
              <w:t>Is it a positive or negative frame? Is it a loss or gain frame?</w:t>
            </w:r>
          </w:p>
          <w:p w:rsidR="006D1702" w:rsidRPr="006D1702" w:rsidRDefault="006D1702" w:rsidP="006D1702">
            <w:pPr>
              <w:pStyle w:val="ListParagraph"/>
              <w:ind w:left="601"/>
              <w:rPr>
                <w:i/>
                <w:sz w:val="28"/>
                <w:szCs w:val="24"/>
              </w:rPr>
            </w:pPr>
          </w:p>
        </w:tc>
      </w:tr>
      <w:tr w:rsidR="006D1702" w:rsidTr="00864586">
        <w:tc>
          <w:tcPr>
            <w:tcW w:w="1668" w:type="dxa"/>
          </w:tcPr>
          <w:p w:rsidR="006D1702" w:rsidRPr="006D1702" w:rsidRDefault="006D1702" w:rsidP="00864586">
            <w:pPr>
              <w:spacing w:line="360" w:lineRule="auto"/>
              <w:rPr>
                <w:sz w:val="28"/>
                <w:szCs w:val="24"/>
              </w:rPr>
            </w:pPr>
            <w:r w:rsidRPr="006D1702">
              <w:rPr>
                <w:sz w:val="28"/>
                <w:szCs w:val="24"/>
              </w:rPr>
              <w:t>Does it apply to me?</w:t>
            </w:r>
          </w:p>
        </w:tc>
        <w:tc>
          <w:tcPr>
            <w:tcW w:w="3827" w:type="dxa"/>
          </w:tcPr>
          <w:p w:rsidR="006D1702" w:rsidRPr="006D1702" w:rsidRDefault="006D1702" w:rsidP="00864586">
            <w:pPr>
              <w:rPr>
                <w:sz w:val="28"/>
                <w:szCs w:val="24"/>
              </w:rPr>
            </w:pPr>
            <w:r w:rsidRPr="006D1702">
              <w:rPr>
                <w:sz w:val="28"/>
                <w:szCs w:val="24"/>
              </w:rPr>
              <w:t xml:space="preserve">Checking to see if the risk information is based on studies of people just like the person receiving the information. </w:t>
            </w:r>
          </w:p>
        </w:tc>
        <w:tc>
          <w:tcPr>
            <w:tcW w:w="3747" w:type="dxa"/>
          </w:tcPr>
          <w:p w:rsidR="006D1702" w:rsidRPr="006D1702" w:rsidRDefault="006D1702" w:rsidP="006D1702">
            <w:pPr>
              <w:pStyle w:val="ListParagraph"/>
              <w:numPr>
                <w:ilvl w:val="0"/>
                <w:numId w:val="6"/>
              </w:numPr>
              <w:ind w:left="601"/>
              <w:rPr>
                <w:i/>
                <w:sz w:val="28"/>
                <w:szCs w:val="24"/>
              </w:rPr>
            </w:pPr>
            <w:r w:rsidRPr="006D1702">
              <w:rPr>
                <w:i/>
                <w:sz w:val="28"/>
                <w:szCs w:val="24"/>
              </w:rPr>
              <w:t>To whom does the risk apply?</w:t>
            </w:r>
          </w:p>
          <w:p w:rsidR="006D1702" w:rsidRDefault="006D1702" w:rsidP="006D1702">
            <w:pPr>
              <w:pStyle w:val="ListParagraph"/>
              <w:numPr>
                <w:ilvl w:val="0"/>
                <w:numId w:val="6"/>
              </w:numPr>
              <w:ind w:left="601"/>
              <w:rPr>
                <w:i/>
                <w:sz w:val="28"/>
                <w:szCs w:val="24"/>
              </w:rPr>
            </w:pPr>
            <w:r w:rsidRPr="006D1702">
              <w:rPr>
                <w:i/>
                <w:sz w:val="28"/>
                <w:szCs w:val="24"/>
              </w:rPr>
              <w:t>Do I share the same characteristics as these people?</w:t>
            </w:r>
          </w:p>
          <w:p w:rsidR="006D1702" w:rsidRPr="006D1702" w:rsidRDefault="006D1702" w:rsidP="006D1702">
            <w:pPr>
              <w:pStyle w:val="ListParagraph"/>
              <w:ind w:left="601"/>
              <w:rPr>
                <w:i/>
                <w:sz w:val="28"/>
                <w:szCs w:val="24"/>
              </w:rPr>
            </w:pPr>
          </w:p>
        </w:tc>
      </w:tr>
    </w:tbl>
    <w:p w:rsidR="006D1702" w:rsidRDefault="006D1702"/>
    <w:sectPr w:rsidR="006D1702" w:rsidSect="00E061C0">
      <w:footerReference w:type="default" r:id="rId26"/>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2D" w:rsidRDefault="000B482D" w:rsidP="004F52D5">
      <w:pPr>
        <w:spacing w:after="0" w:line="240" w:lineRule="auto"/>
      </w:pPr>
      <w:r>
        <w:separator/>
      </w:r>
    </w:p>
  </w:endnote>
  <w:endnote w:type="continuationSeparator" w:id="0">
    <w:p w:rsidR="000B482D" w:rsidRDefault="000B482D" w:rsidP="004F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aparral Pro Light">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63702"/>
      <w:docPartObj>
        <w:docPartGallery w:val="Page Numbers (Bottom of Page)"/>
        <w:docPartUnique/>
      </w:docPartObj>
    </w:sdtPr>
    <w:sdtEndPr>
      <w:rPr>
        <w:color w:val="808080" w:themeColor="background1" w:themeShade="80"/>
        <w:spacing w:val="60"/>
      </w:rPr>
    </w:sdtEndPr>
    <w:sdtContent>
      <w:p w:rsidR="004F52D5" w:rsidRDefault="004F52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378D" w:rsidRPr="00F9378D">
          <w:rPr>
            <w:b/>
            <w:bCs/>
            <w:noProof/>
          </w:rPr>
          <w:t>4</w:t>
        </w:r>
        <w:r>
          <w:rPr>
            <w:b/>
            <w:bCs/>
            <w:noProof/>
          </w:rPr>
          <w:fldChar w:fldCharType="end"/>
        </w:r>
        <w:r>
          <w:rPr>
            <w:b/>
            <w:bCs/>
          </w:rPr>
          <w:t xml:space="preserve"> | </w:t>
        </w:r>
        <w:r>
          <w:rPr>
            <w:color w:val="808080" w:themeColor="background1" w:themeShade="80"/>
            <w:spacing w:val="60"/>
          </w:rPr>
          <w:t>Page</w:t>
        </w:r>
      </w:p>
    </w:sdtContent>
  </w:sdt>
  <w:p w:rsidR="004F52D5" w:rsidRDefault="004F5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2D" w:rsidRDefault="000B482D" w:rsidP="004F52D5">
      <w:pPr>
        <w:spacing w:after="0" w:line="240" w:lineRule="auto"/>
      </w:pPr>
      <w:r>
        <w:separator/>
      </w:r>
    </w:p>
  </w:footnote>
  <w:footnote w:type="continuationSeparator" w:id="0">
    <w:p w:rsidR="000B482D" w:rsidRDefault="000B482D" w:rsidP="004F5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05F"/>
    <w:multiLevelType w:val="hybridMultilevel"/>
    <w:tmpl w:val="6E484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6B40E13"/>
    <w:multiLevelType w:val="hybridMultilevel"/>
    <w:tmpl w:val="711CAB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0B1421E"/>
    <w:multiLevelType w:val="hybridMultilevel"/>
    <w:tmpl w:val="68CA9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10375D6"/>
    <w:multiLevelType w:val="hybridMultilevel"/>
    <w:tmpl w:val="B2F4D6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23F620C"/>
    <w:multiLevelType w:val="hybridMultilevel"/>
    <w:tmpl w:val="3F089A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8AD671A"/>
    <w:multiLevelType w:val="hybridMultilevel"/>
    <w:tmpl w:val="5472F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C5"/>
    <w:rsid w:val="00001E83"/>
    <w:rsid w:val="000267CE"/>
    <w:rsid w:val="000B482D"/>
    <w:rsid w:val="00155892"/>
    <w:rsid w:val="00195710"/>
    <w:rsid w:val="00196625"/>
    <w:rsid w:val="001E36DE"/>
    <w:rsid w:val="00206D06"/>
    <w:rsid w:val="00224774"/>
    <w:rsid w:val="00261A40"/>
    <w:rsid w:val="002B2A7A"/>
    <w:rsid w:val="002D18A1"/>
    <w:rsid w:val="002D329A"/>
    <w:rsid w:val="003C4B85"/>
    <w:rsid w:val="003D2CF8"/>
    <w:rsid w:val="003D7D97"/>
    <w:rsid w:val="0040752B"/>
    <w:rsid w:val="004C2D2A"/>
    <w:rsid w:val="004F52D5"/>
    <w:rsid w:val="005D07D5"/>
    <w:rsid w:val="005E65C5"/>
    <w:rsid w:val="005E77C8"/>
    <w:rsid w:val="005F19CD"/>
    <w:rsid w:val="005F4CC0"/>
    <w:rsid w:val="005F6D77"/>
    <w:rsid w:val="00612AD0"/>
    <w:rsid w:val="006D1702"/>
    <w:rsid w:val="00774846"/>
    <w:rsid w:val="007A1FC7"/>
    <w:rsid w:val="008C0F92"/>
    <w:rsid w:val="008D0C59"/>
    <w:rsid w:val="00925EDD"/>
    <w:rsid w:val="0095220E"/>
    <w:rsid w:val="00994AD6"/>
    <w:rsid w:val="00C75191"/>
    <w:rsid w:val="00C87B20"/>
    <w:rsid w:val="00C93C4D"/>
    <w:rsid w:val="00D22CDB"/>
    <w:rsid w:val="00D86E3D"/>
    <w:rsid w:val="00E061C0"/>
    <w:rsid w:val="00E33C81"/>
    <w:rsid w:val="00E43872"/>
    <w:rsid w:val="00F9378D"/>
    <w:rsid w:val="00FA1DAA"/>
    <w:rsid w:val="00FD2C7B"/>
    <w:rsid w:val="00FE4E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C5"/>
    <w:rPr>
      <w:rFonts w:ascii="Tahoma" w:hAnsi="Tahoma" w:cs="Tahoma"/>
      <w:sz w:val="16"/>
      <w:szCs w:val="16"/>
    </w:rPr>
  </w:style>
  <w:style w:type="paragraph" w:styleId="Header">
    <w:name w:val="header"/>
    <w:basedOn w:val="Normal"/>
    <w:link w:val="HeaderChar"/>
    <w:uiPriority w:val="99"/>
    <w:unhideWhenUsed/>
    <w:rsid w:val="004F5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2D5"/>
  </w:style>
  <w:style w:type="paragraph" w:styleId="Footer">
    <w:name w:val="footer"/>
    <w:basedOn w:val="Normal"/>
    <w:link w:val="FooterChar"/>
    <w:uiPriority w:val="99"/>
    <w:unhideWhenUsed/>
    <w:rsid w:val="004F5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2D5"/>
  </w:style>
  <w:style w:type="paragraph" w:styleId="ListParagraph">
    <w:name w:val="List Paragraph"/>
    <w:basedOn w:val="Normal"/>
    <w:uiPriority w:val="34"/>
    <w:qFormat/>
    <w:rsid w:val="00C93C4D"/>
    <w:pPr>
      <w:ind w:left="720"/>
      <w:contextualSpacing/>
    </w:pPr>
  </w:style>
  <w:style w:type="character" w:styleId="Hyperlink">
    <w:name w:val="Hyperlink"/>
    <w:basedOn w:val="DefaultParagraphFont"/>
    <w:uiPriority w:val="99"/>
    <w:unhideWhenUsed/>
    <w:rsid w:val="00774846"/>
    <w:rPr>
      <w:color w:val="0000FF" w:themeColor="hyperlink"/>
      <w:u w:val="single"/>
    </w:rPr>
  </w:style>
  <w:style w:type="character" w:styleId="FollowedHyperlink">
    <w:name w:val="FollowedHyperlink"/>
    <w:basedOn w:val="DefaultParagraphFont"/>
    <w:uiPriority w:val="99"/>
    <w:semiHidden/>
    <w:unhideWhenUsed/>
    <w:rsid w:val="007748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C5"/>
    <w:rPr>
      <w:rFonts w:ascii="Tahoma" w:hAnsi="Tahoma" w:cs="Tahoma"/>
      <w:sz w:val="16"/>
      <w:szCs w:val="16"/>
    </w:rPr>
  </w:style>
  <w:style w:type="paragraph" w:styleId="Header">
    <w:name w:val="header"/>
    <w:basedOn w:val="Normal"/>
    <w:link w:val="HeaderChar"/>
    <w:uiPriority w:val="99"/>
    <w:unhideWhenUsed/>
    <w:rsid w:val="004F5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2D5"/>
  </w:style>
  <w:style w:type="paragraph" w:styleId="Footer">
    <w:name w:val="footer"/>
    <w:basedOn w:val="Normal"/>
    <w:link w:val="FooterChar"/>
    <w:uiPriority w:val="99"/>
    <w:unhideWhenUsed/>
    <w:rsid w:val="004F5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2D5"/>
  </w:style>
  <w:style w:type="paragraph" w:styleId="ListParagraph">
    <w:name w:val="List Paragraph"/>
    <w:basedOn w:val="Normal"/>
    <w:uiPriority w:val="34"/>
    <w:qFormat/>
    <w:rsid w:val="00C93C4D"/>
    <w:pPr>
      <w:ind w:left="720"/>
      <w:contextualSpacing/>
    </w:pPr>
  </w:style>
  <w:style w:type="character" w:styleId="Hyperlink">
    <w:name w:val="Hyperlink"/>
    <w:basedOn w:val="DefaultParagraphFont"/>
    <w:uiPriority w:val="99"/>
    <w:unhideWhenUsed/>
    <w:rsid w:val="00774846"/>
    <w:rPr>
      <w:color w:val="0000FF" w:themeColor="hyperlink"/>
      <w:u w:val="single"/>
    </w:rPr>
  </w:style>
  <w:style w:type="character" w:styleId="FollowedHyperlink">
    <w:name w:val="FollowedHyperlink"/>
    <w:basedOn w:val="DefaultParagraphFont"/>
    <w:uiPriority w:val="99"/>
    <w:semiHidden/>
    <w:unhideWhenUsed/>
    <w:rsid w:val="00774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20nextgeneration/lessons&amp;worksheets/%20risk.htm" TargetMode="External"/><Relationship Id="rId13" Type="http://schemas.openxmlformats.org/officeDocument/2006/relationships/hyperlink" Target="https://plus.maths.org/content/understanding-uncertainty-2845-ways-spinning-risk-0" TargetMode="External"/><Relationship Id="rId18" Type="http://schemas.openxmlformats.org/officeDocument/2006/relationships/hyperlink" Target="http://sms.cam.ac.uk/collection/728627"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zherald.co.nz/nz/news/article.cfm?c_id=1&amp;objectid=11387387" TargetMode="External"/><Relationship Id="rId7" Type="http://schemas.openxmlformats.org/officeDocument/2006/relationships/endnotes" Target="endnotes.xml"/><Relationship Id="rId12" Type="http://schemas.openxmlformats.org/officeDocument/2006/relationships/hyperlink" Target="http://www.decisionsciencenews.com/2010/12/03/some-ideas-on-communicating-risks-to-the-general-public/" TargetMode="External"/><Relationship Id="rId17" Type="http://schemas.openxmlformats.org/officeDocument/2006/relationships/hyperlink" Target="http://www.senseaboutscience.org/cgi-bin/search.cgi?q=risk"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youtube.com/watch?v=g4op2WNc1e4"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tivate.maths.org/content/%20MathsHealth/PositiveTest" TargetMode="External"/><Relationship Id="rId24" Type="http://schemas.openxmlformats.org/officeDocument/2006/relationships/hyperlink" Target="http://www.nzherald.co.nz/" TargetMode="External"/><Relationship Id="rId5" Type="http://schemas.openxmlformats.org/officeDocument/2006/relationships/webSettings" Target="webSettings.xml"/><Relationship Id="rId15" Type="http://schemas.openxmlformats.org/officeDocument/2006/relationships/hyperlink" Target="https://www.harding-center.mpg.de/en" TargetMode="External"/><Relationship Id="rId23" Type="http://schemas.openxmlformats.org/officeDocument/2006/relationships/hyperlink" Target="http://ordinary-gentlemen.com/" TargetMode="External"/><Relationship Id="rId28" Type="http://schemas.openxmlformats.org/officeDocument/2006/relationships/theme" Target="theme/theme1.xml"/><Relationship Id="rId10" Type="http://schemas.openxmlformats.org/officeDocument/2006/relationships/hyperlink" Target="http://motivate.maths.org/content/%20MathsHealth/HealthEconomics" TargetMode="External"/><Relationship Id="rId19" Type="http://schemas.openxmlformats.org/officeDocument/2006/relationships/hyperlink" Target="https://sites.google.com/site/ocarrollmaths/home" TargetMode="External"/><Relationship Id="rId4" Type="http://schemas.openxmlformats.org/officeDocument/2006/relationships/settings" Target="settings.xml"/><Relationship Id="rId9" Type="http://schemas.openxmlformats.org/officeDocument/2006/relationships/hyperlink" Target="http://motivate.maths.org/content/%20MathsHealth/Risk" TargetMode="External"/><Relationship Id="rId14" Type="http://schemas.openxmlformats.org/officeDocument/2006/relationships/hyperlink" Target="http://www.riskliteracy.org/"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Reporoa College</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O'Carroll</dc:creator>
  <cp:lastModifiedBy>Lorraine O'Carroll</cp:lastModifiedBy>
  <cp:revision>26</cp:revision>
  <dcterms:created xsi:type="dcterms:W3CDTF">2015-06-16T22:37:00Z</dcterms:created>
  <dcterms:modified xsi:type="dcterms:W3CDTF">2015-07-21T00:52:00Z</dcterms:modified>
</cp:coreProperties>
</file>