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6C" w:rsidRDefault="00BF396C" w:rsidP="00BF396C">
      <w:pPr>
        <w:jc w:val="center"/>
      </w:pPr>
      <w:bookmarkStart w:id="0" w:name="_GoBack"/>
      <w:r w:rsidRPr="00BF396C">
        <w:rPr>
          <w:b/>
          <w:sz w:val="24"/>
        </w:rPr>
        <w:t>Time Series Glossary</w:t>
      </w:r>
      <w:r w:rsidRPr="00BF396C">
        <w:rPr>
          <w:sz w:val="24"/>
        </w:rPr>
        <w:t xml:space="preserve">   </w:t>
      </w:r>
      <w:bookmarkEnd w:id="0"/>
      <w:r>
        <w:t>(from Future Learn:  Data to Insight)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396C" w:rsidTr="00BF396C">
        <w:tc>
          <w:tcPr>
            <w:tcW w:w="4788" w:type="dxa"/>
          </w:tcPr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</w:pPr>
            <w:r>
              <w:rPr>
                <w:rStyle w:val="Strong"/>
                <w:rFonts w:ascii="Arial" w:hAnsi="Arial" w:cs="Arial"/>
                <w:color w:val="3A343A"/>
              </w:rPr>
              <w:t>Additive decomposition</w:t>
            </w:r>
          </w:p>
        </w:tc>
        <w:tc>
          <w:tcPr>
            <w:tcW w:w="4788" w:type="dxa"/>
          </w:tcPr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  <w:r>
              <w:rPr>
                <w:rFonts w:ascii="Arial" w:hAnsi="Arial" w:cs="Arial"/>
                <w:color w:val="3A343A"/>
              </w:rPr>
              <w:t>Breaking a time series down into 3 parts, trend, seasonal effects and residuals where it is assumed that there are</w:t>
            </w:r>
            <w:r>
              <w:rPr>
                <w:rStyle w:val="apple-converted-space"/>
                <w:rFonts w:ascii="Arial" w:hAnsi="Arial" w:cs="Arial"/>
                <w:color w:val="3A343A"/>
              </w:rPr>
              <w:t> </w:t>
            </w:r>
            <w:r>
              <w:rPr>
                <w:rStyle w:val="Emphasis"/>
                <w:rFonts w:ascii="Arial" w:hAnsi="Arial" w:cs="Arial"/>
                <w:color w:val="3A343A"/>
              </w:rPr>
              <w:t>constant underlying seasonal swings</w:t>
            </w:r>
            <w:r>
              <w:rPr>
                <w:rStyle w:val="apple-converted-space"/>
                <w:rFonts w:ascii="Arial" w:hAnsi="Arial" w:cs="Arial"/>
                <w:color w:val="3A343A"/>
              </w:rPr>
              <w:t> </w:t>
            </w:r>
            <w:r>
              <w:rPr>
                <w:rFonts w:ascii="Arial" w:hAnsi="Arial" w:cs="Arial"/>
                <w:color w:val="3A343A"/>
              </w:rPr>
              <w:t>(e.g. of the same size every year)</w:t>
            </w:r>
            <w:r>
              <w:rPr>
                <w:rStyle w:val="apple-converted-space"/>
                <w:rFonts w:ascii="Arial" w:hAnsi="Arial" w:cs="Arial"/>
                <w:color w:val="3A343A"/>
              </w:rPr>
              <w:t> </w:t>
            </w:r>
            <w:r>
              <w:rPr>
                <w:rStyle w:val="Emphasis"/>
                <w:rFonts w:ascii="Arial" w:hAnsi="Arial" w:cs="Arial"/>
                <w:color w:val="3A343A"/>
              </w:rPr>
              <w:t>that add to the trend value</w:t>
            </w:r>
            <w:r>
              <w:rPr>
                <w:rFonts w:ascii="Arial" w:hAnsi="Arial" w:cs="Arial"/>
                <w:color w:val="3A343A"/>
              </w:rPr>
              <w:t>.</w:t>
            </w:r>
          </w:p>
          <w:p w:rsidR="00BF396C" w:rsidRDefault="00BF396C"/>
        </w:tc>
      </w:tr>
      <w:tr w:rsidR="00BF396C" w:rsidTr="00BF396C">
        <w:tc>
          <w:tcPr>
            <w:tcW w:w="4788" w:type="dxa"/>
          </w:tcPr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</w:pPr>
            <w:r>
              <w:rPr>
                <w:rStyle w:val="Strong"/>
                <w:rFonts w:ascii="Arial" w:hAnsi="Arial" w:cs="Arial"/>
                <w:color w:val="3A343A"/>
              </w:rPr>
              <w:t>Confidence bands</w:t>
            </w:r>
          </w:p>
        </w:tc>
        <w:tc>
          <w:tcPr>
            <w:tcW w:w="4788" w:type="dxa"/>
          </w:tcPr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  <w:r>
              <w:rPr>
                <w:rFonts w:ascii="Arial" w:hAnsi="Arial" w:cs="Arial"/>
                <w:color w:val="3A343A"/>
              </w:rPr>
              <w:t>A band around a time-series forecast to allow for uncertainty. (They do not allow for uncertainties about the realism of the assumptions that went into the prediction.)</w:t>
            </w: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/>
        </w:tc>
      </w:tr>
      <w:tr w:rsidR="00BF396C" w:rsidTr="00BF396C">
        <w:tc>
          <w:tcPr>
            <w:tcW w:w="4788" w:type="dxa"/>
          </w:tcPr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</w:pPr>
            <w:r>
              <w:rPr>
                <w:rStyle w:val="Strong"/>
                <w:rFonts w:ascii="Arial" w:hAnsi="Arial" w:cs="Arial"/>
                <w:color w:val="3A343A"/>
              </w:rPr>
              <w:t>Decomposition plot</w:t>
            </w:r>
          </w:p>
        </w:tc>
        <w:tc>
          <w:tcPr>
            <w:tcW w:w="4788" w:type="dxa"/>
          </w:tcPr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  <w:r>
              <w:rPr>
                <w:rFonts w:ascii="Arial" w:hAnsi="Arial" w:cs="Arial"/>
                <w:color w:val="3A343A"/>
              </w:rPr>
              <w:t>A plot built up of 3 parts, the basic Time Series plot with trend, the Seasonal Swing (additive or multiplicative) and the Residuals.</w:t>
            </w: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/>
        </w:tc>
      </w:tr>
      <w:tr w:rsidR="00BF396C" w:rsidTr="00BF396C">
        <w:tc>
          <w:tcPr>
            <w:tcW w:w="4788" w:type="dxa"/>
          </w:tcPr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</w:pPr>
            <w:r>
              <w:rPr>
                <w:rStyle w:val="Strong"/>
                <w:rFonts w:ascii="Arial" w:hAnsi="Arial" w:cs="Arial"/>
                <w:color w:val="3A343A"/>
              </w:rPr>
              <w:t>Forecast</w:t>
            </w:r>
          </w:p>
        </w:tc>
        <w:tc>
          <w:tcPr>
            <w:tcW w:w="4788" w:type="dxa"/>
          </w:tcPr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  <w:r>
              <w:rPr>
                <w:rFonts w:ascii="Arial" w:hAnsi="Arial" w:cs="Arial"/>
                <w:color w:val="3A343A"/>
              </w:rPr>
              <w:t>Predict.</w:t>
            </w: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/>
        </w:tc>
      </w:tr>
      <w:tr w:rsidR="00BF396C" w:rsidTr="00BF396C">
        <w:tc>
          <w:tcPr>
            <w:tcW w:w="4788" w:type="dxa"/>
          </w:tcPr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</w:pPr>
            <w:r>
              <w:rPr>
                <w:rStyle w:val="Strong"/>
                <w:rFonts w:ascii="Arial" w:hAnsi="Arial" w:cs="Arial"/>
                <w:color w:val="3A343A"/>
              </w:rPr>
              <w:t>Holt-Winters method</w:t>
            </w:r>
          </w:p>
        </w:tc>
        <w:tc>
          <w:tcPr>
            <w:tcW w:w="4788" w:type="dxa"/>
          </w:tcPr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  <w:r>
              <w:rPr>
                <w:rFonts w:ascii="Arial" w:hAnsi="Arial" w:cs="Arial"/>
                <w:color w:val="3A343A"/>
              </w:rPr>
              <w:t>A good general-purpose forecasting-method for time series data where the trend is basically monotone (</w:t>
            </w:r>
            <w:proofErr w:type="gramStart"/>
            <w:r>
              <w:rPr>
                <w:rFonts w:ascii="Arial" w:hAnsi="Arial" w:cs="Arial"/>
                <w:color w:val="3A343A"/>
              </w:rPr>
              <w:t>either rising</w:t>
            </w:r>
            <w:proofErr w:type="gramEnd"/>
            <w:r>
              <w:rPr>
                <w:rFonts w:ascii="Arial" w:hAnsi="Arial" w:cs="Arial"/>
                <w:color w:val="3A343A"/>
              </w:rPr>
              <w:t xml:space="preserve"> or falling, not both).</w:t>
            </w: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/>
        </w:tc>
      </w:tr>
      <w:tr w:rsidR="00BF396C" w:rsidTr="00BF396C">
        <w:tc>
          <w:tcPr>
            <w:tcW w:w="4788" w:type="dxa"/>
          </w:tcPr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</w:pPr>
            <w:r>
              <w:rPr>
                <w:rStyle w:val="Strong"/>
                <w:rFonts w:ascii="Arial" w:hAnsi="Arial" w:cs="Arial"/>
                <w:color w:val="3A343A"/>
              </w:rPr>
              <w:t>Multiplicative decomposition</w:t>
            </w:r>
          </w:p>
        </w:tc>
        <w:tc>
          <w:tcPr>
            <w:tcW w:w="4788" w:type="dxa"/>
          </w:tcPr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  <w:r>
              <w:rPr>
                <w:rFonts w:ascii="Arial" w:hAnsi="Arial" w:cs="Arial"/>
                <w:color w:val="3A343A"/>
              </w:rPr>
              <w:t>A series which has been broken down into 3 parts, trend, seasonal effects and residuals where it is assumed that there are</w:t>
            </w:r>
            <w:r>
              <w:rPr>
                <w:rStyle w:val="apple-converted-space"/>
                <w:rFonts w:ascii="Arial" w:hAnsi="Arial" w:cs="Arial"/>
                <w:color w:val="3A343A"/>
              </w:rPr>
              <w:t> </w:t>
            </w:r>
            <w:r>
              <w:rPr>
                <w:rStyle w:val="Emphasis"/>
                <w:rFonts w:ascii="Arial" w:hAnsi="Arial" w:cs="Arial"/>
                <w:color w:val="3A343A"/>
              </w:rPr>
              <w:t>constant underlying seasonal effects</w:t>
            </w:r>
            <w:r>
              <w:rPr>
                <w:rStyle w:val="apple-converted-space"/>
                <w:rFonts w:ascii="Arial" w:hAnsi="Arial" w:cs="Arial"/>
                <w:color w:val="3A343A"/>
              </w:rPr>
              <w:t> </w:t>
            </w:r>
            <w:r>
              <w:rPr>
                <w:rFonts w:ascii="Arial" w:hAnsi="Arial" w:cs="Arial"/>
                <w:color w:val="3A343A"/>
              </w:rPr>
              <w:t>that</w:t>
            </w:r>
            <w:r>
              <w:rPr>
                <w:rStyle w:val="apple-converted-space"/>
                <w:rFonts w:ascii="Arial" w:hAnsi="Arial" w:cs="Arial"/>
                <w:color w:val="3A343A"/>
              </w:rPr>
              <w:t> </w:t>
            </w:r>
            <w:r>
              <w:rPr>
                <w:rStyle w:val="Emphasis"/>
                <w:rFonts w:ascii="Arial" w:hAnsi="Arial" w:cs="Arial"/>
                <w:color w:val="3A343A"/>
              </w:rPr>
              <w:t>multiply the trend value</w:t>
            </w:r>
            <w:r>
              <w:rPr>
                <w:rStyle w:val="apple-converted-space"/>
                <w:rFonts w:ascii="Arial" w:hAnsi="Arial" w:cs="Arial"/>
                <w:color w:val="3A343A"/>
              </w:rPr>
              <w:t> </w:t>
            </w:r>
            <w:r>
              <w:rPr>
                <w:rFonts w:ascii="Arial" w:hAnsi="Arial" w:cs="Arial"/>
                <w:color w:val="3A343A"/>
              </w:rPr>
              <w:t>rather than adding to it.</w:t>
            </w:r>
          </w:p>
          <w:p w:rsidR="00BF396C" w:rsidRDefault="00BF396C"/>
        </w:tc>
      </w:tr>
      <w:tr w:rsidR="00BF396C" w:rsidTr="00BF396C">
        <w:tc>
          <w:tcPr>
            <w:tcW w:w="4788" w:type="dxa"/>
          </w:tcPr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</w:pPr>
            <w:r>
              <w:rPr>
                <w:rStyle w:val="Strong"/>
                <w:rFonts w:ascii="Arial" w:hAnsi="Arial" w:cs="Arial"/>
                <w:color w:val="3A343A"/>
              </w:rPr>
              <w:t>Quarterly data</w:t>
            </w:r>
          </w:p>
        </w:tc>
        <w:tc>
          <w:tcPr>
            <w:tcW w:w="4788" w:type="dxa"/>
          </w:tcPr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  <w:r>
              <w:rPr>
                <w:rFonts w:ascii="Arial" w:hAnsi="Arial" w:cs="Arial"/>
                <w:color w:val="3A343A"/>
              </w:rPr>
              <w:t>Data that is reported 4 times a year covering periods of 3 months.</w:t>
            </w: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/>
        </w:tc>
      </w:tr>
      <w:tr w:rsidR="00BF396C" w:rsidTr="00BF396C">
        <w:tc>
          <w:tcPr>
            <w:tcW w:w="4788" w:type="dxa"/>
          </w:tcPr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</w:pPr>
            <w:r>
              <w:rPr>
                <w:rStyle w:val="Strong"/>
                <w:rFonts w:ascii="Arial" w:hAnsi="Arial" w:cs="Arial"/>
                <w:color w:val="3A343A"/>
              </w:rPr>
              <w:t>Residuals</w:t>
            </w:r>
            <w:r>
              <w:rPr>
                <w:rStyle w:val="apple-converted-space"/>
                <w:rFonts w:ascii="Arial" w:hAnsi="Arial" w:cs="Arial"/>
                <w:color w:val="3A343A"/>
              </w:rPr>
              <w:t> </w:t>
            </w:r>
            <w:r>
              <w:rPr>
                <w:rFonts w:ascii="Arial" w:hAnsi="Arial" w:cs="Arial"/>
                <w:color w:val="3A343A"/>
              </w:rPr>
              <w:t>(in time series)</w:t>
            </w:r>
          </w:p>
        </w:tc>
        <w:tc>
          <w:tcPr>
            <w:tcW w:w="4788" w:type="dxa"/>
          </w:tcPr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  <w:r>
              <w:rPr>
                <w:rFonts w:ascii="Arial" w:hAnsi="Arial" w:cs="Arial"/>
                <w:color w:val="3A343A"/>
              </w:rPr>
              <w:t>The difference between the original series and what “</w:t>
            </w:r>
            <w:proofErr w:type="spellStart"/>
            <w:r>
              <w:rPr>
                <w:rFonts w:ascii="Arial" w:hAnsi="Arial" w:cs="Arial"/>
                <w:color w:val="3A343A"/>
              </w:rPr>
              <w:t>Trend+Seasonal</w:t>
            </w:r>
            <w:proofErr w:type="spellEnd"/>
            <w:r>
              <w:rPr>
                <w:rFonts w:ascii="Arial" w:hAnsi="Arial" w:cs="Arial"/>
                <w:color w:val="3A343A"/>
              </w:rPr>
              <w:t xml:space="preserve"> Swing” gives us.</w:t>
            </w: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/>
        </w:tc>
      </w:tr>
      <w:tr w:rsidR="00BF396C" w:rsidTr="00BF396C">
        <w:tc>
          <w:tcPr>
            <w:tcW w:w="4788" w:type="dxa"/>
          </w:tcPr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  <w:r>
              <w:rPr>
                <w:rStyle w:val="Strong"/>
                <w:rFonts w:ascii="Arial" w:hAnsi="Arial" w:cs="Arial"/>
                <w:color w:val="3A343A"/>
              </w:rPr>
              <w:t>Seasonal patterns</w:t>
            </w:r>
          </w:p>
        </w:tc>
        <w:tc>
          <w:tcPr>
            <w:tcW w:w="4788" w:type="dxa"/>
          </w:tcPr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  <w:r>
              <w:rPr>
                <w:rFonts w:ascii="Arial" w:hAnsi="Arial" w:cs="Arial"/>
                <w:color w:val="3A343A"/>
              </w:rPr>
              <w:t>A basic pattern that repeats regularly over a period of time. (</w:t>
            </w:r>
            <w:proofErr w:type="gramStart"/>
            <w:r>
              <w:rPr>
                <w:rFonts w:ascii="Arial" w:hAnsi="Arial" w:cs="Arial"/>
                <w:color w:val="3A343A"/>
              </w:rPr>
              <w:t>e.g</w:t>
            </w:r>
            <w:proofErr w:type="gramEnd"/>
            <w:r>
              <w:rPr>
                <w:rFonts w:ascii="Arial" w:hAnsi="Arial" w:cs="Arial"/>
                <w:color w:val="3A343A"/>
              </w:rPr>
              <w:t>. a repeating months-of-the-year, days-of-the-week, or hours-of-the-day pattern.)</w:t>
            </w: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</w:tc>
      </w:tr>
      <w:tr w:rsidR="00BF396C" w:rsidTr="00BF396C">
        <w:tc>
          <w:tcPr>
            <w:tcW w:w="4788" w:type="dxa"/>
          </w:tcPr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  <w:r>
              <w:rPr>
                <w:rStyle w:val="Strong"/>
                <w:rFonts w:ascii="Arial" w:hAnsi="Arial" w:cs="Arial"/>
                <w:color w:val="3A343A"/>
              </w:rPr>
              <w:t>Seasonal series</w:t>
            </w:r>
          </w:p>
        </w:tc>
        <w:tc>
          <w:tcPr>
            <w:tcW w:w="4788" w:type="dxa"/>
          </w:tcPr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  <w:r>
              <w:rPr>
                <w:rFonts w:ascii="Arial" w:hAnsi="Arial" w:cs="Arial"/>
                <w:color w:val="3A343A"/>
              </w:rPr>
              <w:t>A time series with a seasonal pattern.</w:t>
            </w: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</w:tc>
      </w:tr>
      <w:tr w:rsidR="00BF396C" w:rsidTr="00BF396C">
        <w:tc>
          <w:tcPr>
            <w:tcW w:w="4788" w:type="dxa"/>
          </w:tcPr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</w:p>
          <w:p w:rsidR="00BF396C" w:rsidRDefault="00BF396C" w:rsidP="00BF396C">
            <w:pPr>
              <w:jc w:val="center"/>
              <w:rPr>
                <w:rStyle w:val="Strong"/>
                <w:rFonts w:ascii="Arial" w:hAnsi="Arial" w:cs="Arial"/>
                <w:color w:val="3A343A"/>
              </w:rPr>
            </w:pPr>
            <w:r>
              <w:rPr>
                <w:rStyle w:val="Strong"/>
                <w:rFonts w:ascii="Arial" w:hAnsi="Arial" w:cs="Arial"/>
                <w:color w:val="3A343A"/>
              </w:rPr>
              <w:t>Time-series data</w:t>
            </w:r>
            <w:r>
              <w:rPr>
                <w:rFonts w:ascii="Arial" w:hAnsi="Arial" w:cs="Arial"/>
                <w:color w:val="3A343A"/>
              </w:rPr>
              <w:t>:</w:t>
            </w:r>
          </w:p>
        </w:tc>
        <w:tc>
          <w:tcPr>
            <w:tcW w:w="4788" w:type="dxa"/>
          </w:tcPr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  <w:r>
              <w:rPr>
                <w:rFonts w:ascii="Arial" w:hAnsi="Arial" w:cs="Arial"/>
                <w:color w:val="3A343A"/>
              </w:rPr>
              <w:t>Data collected over time where we are interested in looking at changes over time.</w:t>
            </w: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  <w:p w:rsidR="00BF396C" w:rsidRDefault="00BF396C">
            <w:pPr>
              <w:rPr>
                <w:rFonts w:ascii="Arial" w:hAnsi="Arial" w:cs="Arial"/>
                <w:color w:val="3A343A"/>
              </w:rPr>
            </w:pPr>
          </w:p>
        </w:tc>
      </w:tr>
    </w:tbl>
    <w:p w:rsidR="00BF396C" w:rsidRDefault="00BF396C"/>
    <w:p w:rsidR="00BF396C" w:rsidRDefault="00BF396C"/>
    <w:sectPr w:rsidR="00BF396C" w:rsidSect="00BF396C">
      <w:pgSz w:w="12240" w:h="15840"/>
      <w:pgMar w:top="72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6C"/>
    <w:rsid w:val="00BF396C"/>
    <w:rsid w:val="00C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96C"/>
    <w:rPr>
      <w:b/>
      <w:bCs/>
    </w:rPr>
  </w:style>
  <w:style w:type="character" w:customStyle="1" w:styleId="apple-converted-space">
    <w:name w:val="apple-converted-space"/>
    <w:basedOn w:val="DefaultParagraphFont"/>
    <w:rsid w:val="00BF396C"/>
  </w:style>
  <w:style w:type="character" w:styleId="Emphasis">
    <w:name w:val="Emphasis"/>
    <w:basedOn w:val="DefaultParagraphFont"/>
    <w:uiPriority w:val="20"/>
    <w:qFormat/>
    <w:rsid w:val="00BF396C"/>
    <w:rPr>
      <w:i/>
      <w:iCs/>
    </w:rPr>
  </w:style>
  <w:style w:type="table" w:styleId="TableGrid">
    <w:name w:val="Table Grid"/>
    <w:basedOn w:val="TableNormal"/>
    <w:uiPriority w:val="59"/>
    <w:rsid w:val="00BF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396C"/>
    <w:rPr>
      <w:b/>
      <w:bCs/>
    </w:rPr>
  </w:style>
  <w:style w:type="character" w:customStyle="1" w:styleId="apple-converted-space">
    <w:name w:val="apple-converted-space"/>
    <w:basedOn w:val="DefaultParagraphFont"/>
    <w:rsid w:val="00BF396C"/>
  </w:style>
  <w:style w:type="character" w:styleId="Emphasis">
    <w:name w:val="Emphasis"/>
    <w:basedOn w:val="DefaultParagraphFont"/>
    <w:uiPriority w:val="20"/>
    <w:qFormat/>
    <w:rsid w:val="00BF396C"/>
    <w:rPr>
      <w:i/>
      <w:iCs/>
    </w:rPr>
  </w:style>
  <w:style w:type="table" w:styleId="TableGrid">
    <w:name w:val="Table Grid"/>
    <w:basedOn w:val="TableNormal"/>
    <w:uiPriority w:val="59"/>
    <w:rsid w:val="00BF3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1417</Characters>
  <Application>Microsoft Office Word</Application>
  <DocSecurity>0</DocSecurity>
  <Lines>11</Lines>
  <Paragraphs>3</Paragraphs>
  <ScaleCrop>false</ScaleCrop>
  <Company>Waiheke High School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2014-11-18T21:07:00Z</dcterms:created>
  <dcterms:modified xsi:type="dcterms:W3CDTF">2014-11-18T21:15:00Z</dcterms:modified>
</cp:coreProperties>
</file>